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880"/>
        <w:rPr>
          <w:rFonts w:ascii="仿宋" w:hAnsi="仿宋" w:eastAsia="仿宋" w:cs="仿宋"/>
          <w:bCs/>
          <w:color w:val="000000"/>
          <w:szCs w:val="21"/>
          <w:highlight w:val="none"/>
        </w:rPr>
      </w:pPr>
      <w:r>
        <w:rPr>
          <w:rFonts w:hint="eastAsia" w:ascii="仿宋" w:hAnsi="仿宋" w:eastAsia="仿宋" w:cs="仿宋"/>
          <w:bCs/>
          <w:color w:val="000000"/>
          <w:szCs w:val="21"/>
          <w:highlight w:val="none"/>
        </w:rPr>
        <w:t xml:space="preserve">  </w:t>
      </w:r>
    </w:p>
    <w:p>
      <w:pPr>
        <w:spacing w:line="360" w:lineRule="auto"/>
        <w:rPr>
          <w:rFonts w:ascii="仿宋" w:hAnsi="仿宋" w:eastAsia="仿宋" w:cs="仿宋"/>
          <w:bCs/>
          <w:color w:val="000000"/>
          <w:szCs w:val="21"/>
          <w:highlight w:val="none"/>
        </w:rPr>
      </w:pPr>
    </w:p>
    <w:p>
      <w:pPr>
        <w:spacing w:line="360" w:lineRule="auto"/>
        <w:rPr>
          <w:rFonts w:ascii="仿宋" w:hAnsi="仿宋" w:eastAsia="仿宋" w:cs="仿宋"/>
          <w:bCs/>
          <w:color w:val="000000"/>
          <w:szCs w:val="21"/>
          <w:highlight w:val="none"/>
        </w:rPr>
      </w:pPr>
    </w:p>
    <w:p>
      <w:pPr>
        <w:spacing w:line="360" w:lineRule="auto"/>
        <w:rPr>
          <w:rFonts w:ascii="仿宋" w:hAnsi="仿宋" w:eastAsia="仿宋" w:cs="仿宋"/>
          <w:bCs/>
          <w:color w:val="000000"/>
          <w:szCs w:val="21"/>
          <w:highlight w:val="none"/>
        </w:rPr>
      </w:pPr>
    </w:p>
    <w:p>
      <w:pPr>
        <w:pStyle w:val="95"/>
        <w:spacing w:line="360" w:lineRule="auto"/>
        <w:jc w:val="center"/>
        <w:rPr>
          <w:rFonts w:ascii="仿宋" w:hAnsi="仿宋" w:eastAsia="仿宋" w:cs="仿宋"/>
          <w:b/>
          <w:color w:val="000000"/>
          <w:sz w:val="52"/>
          <w:szCs w:val="52"/>
          <w:highlight w:val="none"/>
        </w:rPr>
      </w:pPr>
      <w:r>
        <w:rPr>
          <w:rFonts w:hint="eastAsia" w:ascii="仿宋" w:hAnsi="仿宋" w:eastAsia="仿宋" w:cs="仿宋"/>
          <w:b/>
          <w:color w:val="000000"/>
          <w:sz w:val="52"/>
          <w:szCs w:val="52"/>
          <w:highlight w:val="none"/>
        </w:rPr>
        <w:t>吉林省残疾人中等职业学校业务外包服务项目</w:t>
      </w:r>
    </w:p>
    <w:p>
      <w:pPr>
        <w:pStyle w:val="95"/>
        <w:spacing w:line="360" w:lineRule="auto"/>
        <w:jc w:val="center"/>
        <w:rPr>
          <w:rFonts w:ascii="仿宋" w:hAnsi="仿宋" w:eastAsia="仿宋" w:cs="仿宋"/>
          <w:b/>
          <w:color w:val="000000"/>
          <w:sz w:val="52"/>
          <w:szCs w:val="52"/>
          <w:highlight w:val="none"/>
        </w:rPr>
      </w:pPr>
    </w:p>
    <w:p>
      <w:pPr>
        <w:adjustRightInd w:val="0"/>
        <w:spacing w:line="360" w:lineRule="auto"/>
        <w:jc w:val="center"/>
        <w:textAlignment w:val="baseline"/>
        <w:rPr>
          <w:rFonts w:ascii="仿宋" w:hAnsi="仿宋" w:eastAsia="仿宋" w:cs="仿宋"/>
          <w:b/>
          <w:color w:val="000000"/>
          <w:sz w:val="36"/>
          <w:szCs w:val="36"/>
          <w:highlight w:val="none"/>
        </w:rPr>
      </w:pPr>
      <w:r>
        <w:rPr>
          <w:rFonts w:hint="eastAsia" w:ascii="仿宋" w:hAnsi="仿宋" w:eastAsia="仿宋" w:cs="仿宋"/>
          <w:b/>
          <w:bCs/>
          <w:color w:val="000000"/>
          <w:kern w:val="0"/>
          <w:sz w:val="100"/>
          <w:szCs w:val="96"/>
          <w:highlight w:val="none"/>
        </w:rPr>
        <w:t>招 标 文 件</w:t>
      </w:r>
    </w:p>
    <w:p>
      <w:pPr>
        <w:snapToGrid w:val="0"/>
        <w:spacing w:line="400" w:lineRule="exact"/>
        <w:ind w:firstLine="2233" w:firstLineChars="695"/>
        <w:rPr>
          <w:rFonts w:ascii="仿宋" w:hAnsi="仿宋" w:eastAsia="仿宋" w:cs="仿宋"/>
          <w:b/>
          <w:bCs/>
          <w:color w:val="000000"/>
          <w:highlight w:val="none"/>
        </w:rPr>
      </w:pPr>
      <w:r>
        <w:rPr>
          <w:rFonts w:hint="eastAsia" w:ascii="仿宋" w:hAnsi="仿宋" w:eastAsia="仿宋" w:cs="仿宋"/>
          <w:b/>
          <w:bCs/>
          <w:color w:val="000000"/>
          <w:kern w:val="0"/>
          <w:sz w:val="32"/>
          <w:szCs w:val="32"/>
          <w:highlight w:val="none"/>
        </w:rPr>
        <w:t>招标编号:</w:t>
      </w:r>
      <w:r>
        <w:rPr>
          <w:rFonts w:hint="eastAsia" w:ascii="仿宋" w:hAnsi="仿宋" w:eastAsia="仿宋" w:cs="仿宋"/>
          <w:b/>
          <w:bCs/>
          <w:color w:val="000000"/>
          <w:kern w:val="0"/>
          <w:sz w:val="32"/>
          <w:szCs w:val="32"/>
          <w:highlight w:val="none"/>
          <w:u w:val="single"/>
        </w:rPr>
        <w:t>CCKSTC-22ZFFW0019</w:t>
      </w:r>
    </w:p>
    <w:p>
      <w:pPr>
        <w:spacing w:line="360" w:lineRule="auto"/>
        <w:rPr>
          <w:rFonts w:ascii="仿宋" w:hAnsi="仿宋" w:eastAsia="仿宋" w:cs="仿宋"/>
          <w:color w:val="000000"/>
          <w:highlight w:val="none"/>
        </w:rPr>
      </w:pPr>
    </w:p>
    <w:p>
      <w:pPr>
        <w:spacing w:line="360" w:lineRule="auto"/>
        <w:rPr>
          <w:rFonts w:ascii="仿宋" w:hAnsi="仿宋" w:eastAsia="仿宋" w:cs="仿宋"/>
          <w:color w:val="000000"/>
          <w:highlight w:val="none"/>
        </w:rPr>
      </w:pPr>
    </w:p>
    <w:p>
      <w:pPr>
        <w:pStyle w:val="5"/>
        <w:rPr>
          <w:highlight w:val="none"/>
        </w:rPr>
      </w:pPr>
    </w:p>
    <w:p>
      <w:pPr>
        <w:rPr>
          <w:highlight w:val="none"/>
        </w:rPr>
      </w:pPr>
    </w:p>
    <w:p>
      <w:pPr>
        <w:pStyle w:val="81"/>
        <w:rPr>
          <w:highlight w:val="none"/>
        </w:rPr>
      </w:pPr>
    </w:p>
    <w:p>
      <w:pPr>
        <w:spacing w:line="360" w:lineRule="auto"/>
        <w:rPr>
          <w:rFonts w:ascii="仿宋" w:hAnsi="仿宋" w:eastAsia="仿宋" w:cs="仿宋"/>
          <w:color w:val="000000"/>
          <w:highlight w:val="none"/>
        </w:rPr>
      </w:pPr>
    </w:p>
    <w:p>
      <w:pPr>
        <w:spacing w:line="360" w:lineRule="auto"/>
        <w:jc w:val="center"/>
        <w:rPr>
          <w:rFonts w:ascii="仿宋" w:hAnsi="仿宋" w:eastAsia="仿宋" w:cs="仿宋"/>
          <w:color w:val="000000"/>
          <w:highlight w:val="none"/>
        </w:rPr>
      </w:pPr>
    </w:p>
    <w:p>
      <w:pPr>
        <w:spacing w:line="360" w:lineRule="auto"/>
        <w:jc w:val="center"/>
        <w:rPr>
          <w:rFonts w:ascii="仿宋" w:hAnsi="仿宋" w:eastAsia="仿宋" w:cs="仿宋"/>
          <w:color w:val="000000"/>
          <w:sz w:val="20"/>
          <w:szCs w:val="22"/>
          <w:highlight w:val="none"/>
        </w:rPr>
      </w:pPr>
    </w:p>
    <w:p>
      <w:pPr>
        <w:spacing w:line="360" w:lineRule="auto"/>
        <w:jc w:val="center"/>
        <w:rPr>
          <w:rFonts w:ascii="仿宋" w:hAnsi="仿宋" w:eastAsia="仿宋" w:cs="仿宋"/>
          <w:color w:val="000000"/>
          <w:sz w:val="20"/>
          <w:szCs w:val="22"/>
          <w:highlight w:val="none"/>
        </w:rPr>
      </w:pPr>
    </w:p>
    <w:p>
      <w:pPr>
        <w:spacing w:line="360" w:lineRule="auto"/>
        <w:jc w:val="center"/>
        <w:rPr>
          <w:rFonts w:ascii="仿宋" w:hAnsi="仿宋" w:eastAsia="仿宋" w:cs="仿宋"/>
          <w:b/>
          <w:color w:val="000000"/>
          <w:kern w:val="0"/>
          <w:sz w:val="48"/>
          <w:szCs w:val="48"/>
          <w:highlight w:val="none"/>
        </w:rPr>
      </w:pPr>
      <w:r>
        <w:rPr>
          <w:rFonts w:hint="eastAsia" w:ascii="仿宋" w:hAnsi="仿宋" w:eastAsia="仿宋" w:cs="仿宋"/>
          <w:b/>
          <w:color w:val="000000"/>
          <w:kern w:val="0"/>
          <w:sz w:val="48"/>
          <w:szCs w:val="48"/>
          <w:highlight w:val="none"/>
        </w:rPr>
        <w:t>长春市科胜招标投标代理有限公司</w:t>
      </w:r>
    </w:p>
    <w:p>
      <w:pPr>
        <w:spacing w:line="360" w:lineRule="auto"/>
        <w:jc w:val="center"/>
        <w:rPr>
          <w:rFonts w:ascii="仿宋" w:hAnsi="仿宋" w:eastAsia="仿宋" w:cs="仿宋"/>
          <w:b/>
          <w:bCs/>
          <w:color w:val="000000"/>
          <w:sz w:val="40"/>
          <w:szCs w:val="40"/>
          <w:highlight w:val="none"/>
        </w:rPr>
      </w:pPr>
      <w:r>
        <w:rPr>
          <w:rFonts w:hint="eastAsia" w:ascii="仿宋" w:hAnsi="仿宋" w:eastAsia="仿宋" w:cs="仿宋"/>
          <w:b/>
          <w:bCs/>
          <w:color w:val="000000"/>
          <w:sz w:val="40"/>
          <w:szCs w:val="40"/>
          <w:highlight w:val="none"/>
        </w:rPr>
        <w:t>二〇二二年二月</w:t>
      </w:r>
    </w:p>
    <w:p>
      <w:pPr>
        <w:keepNext/>
        <w:keepLines/>
        <w:spacing w:line="360" w:lineRule="auto"/>
        <w:jc w:val="center"/>
        <w:rPr>
          <w:rFonts w:ascii="仿宋" w:hAnsi="仿宋" w:eastAsia="仿宋" w:cs="仿宋"/>
          <w:b/>
          <w:bCs/>
          <w:color w:val="000000"/>
          <w:sz w:val="32"/>
          <w:szCs w:val="32"/>
          <w:highlight w:val="none"/>
        </w:rPr>
        <w:sectPr>
          <w:footerReference r:id="rId4" w:type="first"/>
          <w:footerReference r:id="rId3" w:type="default"/>
          <w:pgSz w:w="11906" w:h="16838"/>
          <w:pgMar w:top="1440" w:right="1797" w:bottom="1440" w:left="1797" w:header="851" w:footer="850" w:gutter="0"/>
          <w:pgNumType w:start="1"/>
          <w:cols w:space="720" w:num="1"/>
          <w:docGrid w:linePitch="312" w:charSpace="0"/>
        </w:sectPr>
      </w:pPr>
      <w:bookmarkStart w:id="0" w:name="_Toc365831932"/>
      <w:bookmarkStart w:id="1" w:name="_Toc18865"/>
      <w:bookmarkStart w:id="2" w:name="_Toc320508770"/>
    </w:p>
    <w:p>
      <w:pPr>
        <w:keepNext/>
        <w:keepLines/>
        <w:spacing w:line="360" w:lineRule="auto"/>
        <w:jc w:val="center"/>
        <w:rPr>
          <w:rFonts w:ascii="仿宋" w:hAnsi="仿宋" w:eastAsia="仿宋" w:cs="仿宋"/>
          <w:b/>
          <w:bCs/>
          <w:color w:val="000000"/>
          <w:sz w:val="32"/>
          <w:szCs w:val="32"/>
          <w:highlight w:val="none"/>
        </w:rPr>
      </w:pPr>
    </w:p>
    <w:p>
      <w:pPr>
        <w:keepNext/>
        <w:keepLines/>
        <w:spacing w:line="360" w:lineRule="auto"/>
        <w:jc w:val="center"/>
        <w:rPr>
          <w:rFonts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目</w:t>
      </w:r>
      <w:r>
        <w:rPr>
          <w:rFonts w:hint="eastAsia" w:ascii="仿宋" w:hAnsi="仿宋" w:eastAsia="仿宋" w:cs="仿宋"/>
          <w:color w:val="000000"/>
          <w:sz w:val="32"/>
          <w:szCs w:val="32"/>
          <w:highlight w:val="none"/>
        </w:rPr>
        <w:t xml:space="preserve">  </w:t>
      </w:r>
      <w:r>
        <w:rPr>
          <w:rFonts w:hint="eastAsia" w:ascii="仿宋" w:hAnsi="仿宋" w:eastAsia="仿宋" w:cs="仿宋"/>
          <w:b/>
          <w:bCs/>
          <w:color w:val="000000"/>
          <w:sz w:val="32"/>
          <w:szCs w:val="32"/>
          <w:highlight w:val="none"/>
        </w:rPr>
        <w:t>录</w:t>
      </w:r>
    </w:p>
    <w:p>
      <w:pPr>
        <w:pStyle w:val="29"/>
        <w:tabs>
          <w:tab w:val="right" w:leader="dot" w:pos="8312"/>
          <w:tab w:val="clear" w:pos="8296"/>
        </w:tabs>
        <w:spacing w:line="480" w:lineRule="auto"/>
        <w:rPr>
          <w:b w:val="0"/>
          <w:bCs w:val="0"/>
          <w:sz w:val="30"/>
          <w:szCs w:val="30"/>
          <w:highlight w:val="none"/>
        </w:rPr>
      </w:pP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TOC \o "1-1" \h \u </w:instrText>
      </w:r>
      <w:r>
        <w:rPr>
          <w:rFonts w:hint="eastAsia" w:ascii="仿宋" w:hAnsi="仿宋" w:eastAsia="仿宋" w:cs="仿宋"/>
          <w:b w:val="0"/>
          <w:bCs w:val="0"/>
          <w:sz w:val="30"/>
          <w:szCs w:val="30"/>
          <w:highlight w:val="none"/>
        </w:rPr>
        <w:fldChar w:fldCharType="separate"/>
      </w:r>
      <w:r>
        <w:rPr>
          <w:highlight w:val="none"/>
        </w:rPr>
        <w:fldChar w:fldCharType="begin"/>
      </w:r>
      <w:r>
        <w:rPr>
          <w:highlight w:val="none"/>
        </w:rPr>
        <w:instrText xml:space="preserve"> HYPERLINK \l "_Toc31272" </w:instrText>
      </w:r>
      <w:r>
        <w:rPr>
          <w:highlight w:val="none"/>
        </w:rPr>
        <w:fldChar w:fldCharType="separate"/>
      </w:r>
      <w:r>
        <w:rPr>
          <w:rFonts w:hint="eastAsia" w:ascii="仿宋" w:hAnsi="仿宋" w:eastAsia="仿宋" w:cs="仿宋"/>
          <w:b w:val="0"/>
          <w:bCs w:val="0"/>
          <w:sz w:val="30"/>
          <w:szCs w:val="30"/>
          <w:highlight w:val="none"/>
        </w:rPr>
        <w:t>第一部分  投标邀请</w:t>
      </w:r>
      <w:r>
        <w:rPr>
          <w:b w:val="0"/>
          <w:bCs w:val="0"/>
          <w:sz w:val="30"/>
          <w:szCs w:val="30"/>
          <w:highlight w:val="none"/>
        </w:rPr>
        <w:tab/>
      </w:r>
      <w:r>
        <w:rPr>
          <w:b w:val="0"/>
          <w:bCs w:val="0"/>
          <w:sz w:val="30"/>
          <w:szCs w:val="30"/>
          <w:highlight w:val="none"/>
        </w:rPr>
        <w:fldChar w:fldCharType="begin"/>
      </w:r>
      <w:r>
        <w:rPr>
          <w:b w:val="0"/>
          <w:bCs w:val="0"/>
          <w:sz w:val="30"/>
          <w:szCs w:val="30"/>
          <w:highlight w:val="none"/>
        </w:rPr>
        <w:instrText xml:space="preserve"> PAGEREF _Toc31272 \h </w:instrText>
      </w:r>
      <w:r>
        <w:rPr>
          <w:b w:val="0"/>
          <w:bCs w:val="0"/>
          <w:sz w:val="30"/>
          <w:szCs w:val="30"/>
          <w:highlight w:val="none"/>
        </w:rPr>
        <w:fldChar w:fldCharType="separate"/>
      </w:r>
      <w:r>
        <w:rPr>
          <w:b w:val="0"/>
          <w:bCs w:val="0"/>
          <w:sz w:val="30"/>
          <w:szCs w:val="30"/>
          <w:highlight w:val="none"/>
        </w:rPr>
        <w:t>1</w:t>
      </w:r>
      <w:r>
        <w:rPr>
          <w:b w:val="0"/>
          <w:bCs w:val="0"/>
          <w:sz w:val="30"/>
          <w:szCs w:val="30"/>
          <w:highlight w:val="none"/>
        </w:rPr>
        <w:fldChar w:fldCharType="end"/>
      </w:r>
      <w:r>
        <w:rPr>
          <w:b w:val="0"/>
          <w:bCs w:val="0"/>
          <w:sz w:val="30"/>
          <w:szCs w:val="30"/>
          <w:highlight w:val="none"/>
        </w:rPr>
        <w:fldChar w:fldCharType="end"/>
      </w:r>
    </w:p>
    <w:p>
      <w:pPr>
        <w:pStyle w:val="29"/>
        <w:tabs>
          <w:tab w:val="right" w:leader="dot" w:pos="8312"/>
          <w:tab w:val="clear" w:pos="8296"/>
        </w:tabs>
        <w:spacing w:line="480" w:lineRule="auto"/>
        <w:rPr>
          <w:b w:val="0"/>
          <w:bCs w:val="0"/>
          <w:sz w:val="30"/>
          <w:szCs w:val="30"/>
          <w:highlight w:val="none"/>
        </w:rPr>
      </w:pPr>
      <w:r>
        <w:rPr>
          <w:highlight w:val="none"/>
        </w:rPr>
        <w:fldChar w:fldCharType="begin"/>
      </w:r>
      <w:r>
        <w:rPr>
          <w:highlight w:val="none"/>
        </w:rPr>
        <w:instrText xml:space="preserve"> HYPERLINK \l "_Toc16003" </w:instrText>
      </w:r>
      <w:r>
        <w:rPr>
          <w:highlight w:val="none"/>
        </w:rPr>
        <w:fldChar w:fldCharType="separate"/>
      </w:r>
      <w:r>
        <w:rPr>
          <w:rFonts w:hint="eastAsia" w:ascii="仿宋" w:hAnsi="仿宋" w:eastAsia="仿宋" w:cs="仿宋"/>
          <w:b w:val="0"/>
          <w:bCs w:val="0"/>
          <w:sz w:val="30"/>
          <w:szCs w:val="30"/>
          <w:highlight w:val="none"/>
        </w:rPr>
        <w:t>第二部分  投标人须知</w:t>
      </w:r>
      <w:r>
        <w:rPr>
          <w:b w:val="0"/>
          <w:bCs w:val="0"/>
          <w:sz w:val="30"/>
          <w:szCs w:val="30"/>
          <w:highlight w:val="none"/>
        </w:rPr>
        <w:tab/>
      </w:r>
      <w:r>
        <w:rPr>
          <w:b w:val="0"/>
          <w:bCs w:val="0"/>
          <w:sz w:val="30"/>
          <w:szCs w:val="30"/>
          <w:highlight w:val="none"/>
        </w:rPr>
        <w:fldChar w:fldCharType="begin"/>
      </w:r>
      <w:r>
        <w:rPr>
          <w:b w:val="0"/>
          <w:bCs w:val="0"/>
          <w:sz w:val="30"/>
          <w:szCs w:val="30"/>
          <w:highlight w:val="none"/>
        </w:rPr>
        <w:instrText xml:space="preserve"> PAGEREF _Toc16003 \h </w:instrText>
      </w:r>
      <w:r>
        <w:rPr>
          <w:b w:val="0"/>
          <w:bCs w:val="0"/>
          <w:sz w:val="30"/>
          <w:szCs w:val="30"/>
          <w:highlight w:val="none"/>
        </w:rPr>
        <w:fldChar w:fldCharType="separate"/>
      </w:r>
      <w:r>
        <w:rPr>
          <w:b w:val="0"/>
          <w:bCs w:val="0"/>
          <w:sz w:val="30"/>
          <w:szCs w:val="30"/>
          <w:highlight w:val="none"/>
        </w:rPr>
        <w:t>4</w:t>
      </w:r>
      <w:r>
        <w:rPr>
          <w:b w:val="0"/>
          <w:bCs w:val="0"/>
          <w:sz w:val="30"/>
          <w:szCs w:val="30"/>
          <w:highlight w:val="none"/>
        </w:rPr>
        <w:fldChar w:fldCharType="end"/>
      </w:r>
      <w:r>
        <w:rPr>
          <w:b w:val="0"/>
          <w:bCs w:val="0"/>
          <w:sz w:val="30"/>
          <w:szCs w:val="30"/>
          <w:highlight w:val="none"/>
        </w:rPr>
        <w:fldChar w:fldCharType="end"/>
      </w:r>
    </w:p>
    <w:p>
      <w:pPr>
        <w:pStyle w:val="29"/>
        <w:tabs>
          <w:tab w:val="right" w:leader="dot" w:pos="8312"/>
          <w:tab w:val="clear" w:pos="8296"/>
        </w:tabs>
        <w:spacing w:line="480" w:lineRule="auto"/>
        <w:rPr>
          <w:b w:val="0"/>
          <w:bCs w:val="0"/>
          <w:sz w:val="30"/>
          <w:szCs w:val="30"/>
          <w:highlight w:val="none"/>
        </w:rPr>
      </w:pPr>
      <w:r>
        <w:rPr>
          <w:highlight w:val="none"/>
        </w:rPr>
        <w:fldChar w:fldCharType="begin"/>
      </w:r>
      <w:r>
        <w:rPr>
          <w:highlight w:val="none"/>
        </w:rPr>
        <w:instrText xml:space="preserve"> HYPERLINK \l "_Toc26187" </w:instrText>
      </w:r>
      <w:r>
        <w:rPr>
          <w:highlight w:val="none"/>
        </w:rPr>
        <w:fldChar w:fldCharType="separate"/>
      </w:r>
      <w:r>
        <w:rPr>
          <w:rFonts w:hint="eastAsia" w:ascii="仿宋" w:hAnsi="仿宋" w:eastAsia="仿宋" w:cs="仿宋"/>
          <w:b w:val="0"/>
          <w:bCs w:val="0"/>
          <w:sz w:val="30"/>
          <w:szCs w:val="30"/>
          <w:highlight w:val="none"/>
        </w:rPr>
        <w:t>第三部分  服务合同</w:t>
      </w:r>
      <w:r>
        <w:rPr>
          <w:b w:val="0"/>
          <w:bCs w:val="0"/>
          <w:sz w:val="30"/>
          <w:szCs w:val="30"/>
          <w:highlight w:val="none"/>
        </w:rPr>
        <w:tab/>
      </w:r>
      <w:r>
        <w:rPr>
          <w:b w:val="0"/>
          <w:bCs w:val="0"/>
          <w:sz w:val="30"/>
          <w:szCs w:val="30"/>
          <w:highlight w:val="none"/>
        </w:rPr>
        <w:fldChar w:fldCharType="begin"/>
      </w:r>
      <w:r>
        <w:rPr>
          <w:b w:val="0"/>
          <w:bCs w:val="0"/>
          <w:sz w:val="30"/>
          <w:szCs w:val="30"/>
          <w:highlight w:val="none"/>
        </w:rPr>
        <w:instrText xml:space="preserve"> PAGEREF _Toc26187 \h </w:instrText>
      </w:r>
      <w:r>
        <w:rPr>
          <w:b w:val="0"/>
          <w:bCs w:val="0"/>
          <w:sz w:val="30"/>
          <w:szCs w:val="30"/>
          <w:highlight w:val="none"/>
        </w:rPr>
        <w:fldChar w:fldCharType="separate"/>
      </w:r>
      <w:r>
        <w:rPr>
          <w:b w:val="0"/>
          <w:bCs w:val="0"/>
          <w:sz w:val="30"/>
          <w:szCs w:val="30"/>
          <w:highlight w:val="none"/>
        </w:rPr>
        <w:t>14</w:t>
      </w:r>
      <w:r>
        <w:rPr>
          <w:b w:val="0"/>
          <w:bCs w:val="0"/>
          <w:sz w:val="30"/>
          <w:szCs w:val="30"/>
          <w:highlight w:val="none"/>
        </w:rPr>
        <w:fldChar w:fldCharType="end"/>
      </w:r>
      <w:r>
        <w:rPr>
          <w:b w:val="0"/>
          <w:bCs w:val="0"/>
          <w:sz w:val="30"/>
          <w:szCs w:val="30"/>
          <w:highlight w:val="none"/>
        </w:rPr>
        <w:fldChar w:fldCharType="end"/>
      </w:r>
    </w:p>
    <w:p>
      <w:pPr>
        <w:pStyle w:val="29"/>
        <w:tabs>
          <w:tab w:val="right" w:leader="dot" w:pos="8312"/>
          <w:tab w:val="clear" w:pos="8296"/>
        </w:tabs>
        <w:spacing w:line="480" w:lineRule="auto"/>
        <w:rPr>
          <w:b w:val="0"/>
          <w:bCs w:val="0"/>
          <w:sz w:val="30"/>
          <w:szCs w:val="30"/>
          <w:highlight w:val="none"/>
        </w:rPr>
      </w:pPr>
      <w:r>
        <w:rPr>
          <w:highlight w:val="none"/>
        </w:rPr>
        <w:fldChar w:fldCharType="begin"/>
      </w:r>
      <w:r>
        <w:rPr>
          <w:highlight w:val="none"/>
        </w:rPr>
        <w:instrText xml:space="preserve"> HYPERLINK \l "_Toc21405" </w:instrText>
      </w:r>
      <w:r>
        <w:rPr>
          <w:highlight w:val="none"/>
        </w:rPr>
        <w:fldChar w:fldCharType="separate"/>
      </w:r>
      <w:r>
        <w:rPr>
          <w:rFonts w:hint="eastAsia" w:ascii="仿宋" w:hAnsi="仿宋" w:eastAsia="仿宋" w:cs="仿宋"/>
          <w:b w:val="0"/>
          <w:bCs w:val="0"/>
          <w:sz w:val="30"/>
          <w:szCs w:val="30"/>
          <w:highlight w:val="none"/>
        </w:rPr>
        <w:t>第四部分  服务要求</w:t>
      </w:r>
      <w:r>
        <w:rPr>
          <w:b w:val="0"/>
          <w:bCs w:val="0"/>
          <w:sz w:val="30"/>
          <w:szCs w:val="30"/>
          <w:highlight w:val="none"/>
        </w:rPr>
        <w:tab/>
      </w:r>
      <w:r>
        <w:rPr>
          <w:b w:val="0"/>
          <w:bCs w:val="0"/>
          <w:sz w:val="30"/>
          <w:szCs w:val="30"/>
          <w:highlight w:val="none"/>
        </w:rPr>
        <w:fldChar w:fldCharType="begin"/>
      </w:r>
      <w:r>
        <w:rPr>
          <w:b w:val="0"/>
          <w:bCs w:val="0"/>
          <w:sz w:val="30"/>
          <w:szCs w:val="30"/>
          <w:highlight w:val="none"/>
        </w:rPr>
        <w:instrText xml:space="preserve"> PAGEREF _Toc21405 \h </w:instrText>
      </w:r>
      <w:r>
        <w:rPr>
          <w:b w:val="0"/>
          <w:bCs w:val="0"/>
          <w:sz w:val="30"/>
          <w:szCs w:val="30"/>
          <w:highlight w:val="none"/>
        </w:rPr>
        <w:fldChar w:fldCharType="separate"/>
      </w:r>
      <w:r>
        <w:rPr>
          <w:b w:val="0"/>
          <w:bCs w:val="0"/>
          <w:sz w:val="30"/>
          <w:szCs w:val="30"/>
          <w:highlight w:val="none"/>
        </w:rPr>
        <w:t>17</w:t>
      </w:r>
      <w:r>
        <w:rPr>
          <w:b w:val="0"/>
          <w:bCs w:val="0"/>
          <w:sz w:val="30"/>
          <w:szCs w:val="30"/>
          <w:highlight w:val="none"/>
        </w:rPr>
        <w:fldChar w:fldCharType="end"/>
      </w:r>
      <w:r>
        <w:rPr>
          <w:b w:val="0"/>
          <w:bCs w:val="0"/>
          <w:sz w:val="30"/>
          <w:szCs w:val="30"/>
          <w:highlight w:val="none"/>
        </w:rPr>
        <w:fldChar w:fldCharType="end"/>
      </w:r>
    </w:p>
    <w:p>
      <w:pPr>
        <w:pStyle w:val="29"/>
        <w:tabs>
          <w:tab w:val="right" w:leader="dot" w:pos="8312"/>
          <w:tab w:val="clear" w:pos="8296"/>
        </w:tabs>
        <w:spacing w:line="480" w:lineRule="auto"/>
        <w:rPr>
          <w:b w:val="0"/>
          <w:bCs w:val="0"/>
          <w:sz w:val="30"/>
          <w:szCs w:val="30"/>
          <w:highlight w:val="none"/>
        </w:rPr>
      </w:pPr>
      <w:r>
        <w:rPr>
          <w:highlight w:val="none"/>
        </w:rPr>
        <w:fldChar w:fldCharType="begin"/>
      </w:r>
      <w:r>
        <w:rPr>
          <w:highlight w:val="none"/>
        </w:rPr>
        <w:instrText xml:space="preserve"> HYPERLINK \l "_Toc21525" </w:instrText>
      </w:r>
      <w:r>
        <w:rPr>
          <w:highlight w:val="none"/>
        </w:rPr>
        <w:fldChar w:fldCharType="separate"/>
      </w:r>
      <w:r>
        <w:rPr>
          <w:rFonts w:hint="eastAsia" w:ascii="仿宋" w:hAnsi="仿宋" w:eastAsia="仿宋" w:cs="仿宋"/>
          <w:b w:val="0"/>
          <w:bCs w:val="0"/>
          <w:sz w:val="30"/>
          <w:szCs w:val="30"/>
          <w:highlight w:val="none"/>
        </w:rPr>
        <w:t>第五部分  投标文件格式</w:t>
      </w:r>
      <w:r>
        <w:rPr>
          <w:b w:val="0"/>
          <w:bCs w:val="0"/>
          <w:sz w:val="30"/>
          <w:szCs w:val="30"/>
          <w:highlight w:val="none"/>
        </w:rPr>
        <w:tab/>
      </w:r>
      <w:r>
        <w:rPr>
          <w:b w:val="0"/>
          <w:bCs w:val="0"/>
          <w:sz w:val="30"/>
          <w:szCs w:val="30"/>
          <w:highlight w:val="none"/>
        </w:rPr>
        <w:fldChar w:fldCharType="begin"/>
      </w:r>
      <w:r>
        <w:rPr>
          <w:b w:val="0"/>
          <w:bCs w:val="0"/>
          <w:sz w:val="30"/>
          <w:szCs w:val="30"/>
          <w:highlight w:val="none"/>
        </w:rPr>
        <w:instrText xml:space="preserve"> PAGEREF _Toc21525 \h </w:instrText>
      </w:r>
      <w:r>
        <w:rPr>
          <w:b w:val="0"/>
          <w:bCs w:val="0"/>
          <w:sz w:val="30"/>
          <w:szCs w:val="30"/>
          <w:highlight w:val="none"/>
        </w:rPr>
        <w:fldChar w:fldCharType="separate"/>
      </w:r>
      <w:r>
        <w:rPr>
          <w:b w:val="0"/>
          <w:bCs w:val="0"/>
          <w:sz w:val="30"/>
          <w:szCs w:val="30"/>
          <w:highlight w:val="none"/>
        </w:rPr>
        <w:t>20</w:t>
      </w:r>
      <w:r>
        <w:rPr>
          <w:b w:val="0"/>
          <w:bCs w:val="0"/>
          <w:sz w:val="30"/>
          <w:szCs w:val="30"/>
          <w:highlight w:val="none"/>
        </w:rPr>
        <w:fldChar w:fldCharType="end"/>
      </w:r>
      <w:r>
        <w:rPr>
          <w:b w:val="0"/>
          <w:bCs w:val="0"/>
          <w:sz w:val="30"/>
          <w:szCs w:val="30"/>
          <w:highlight w:val="none"/>
        </w:rPr>
        <w:fldChar w:fldCharType="end"/>
      </w:r>
    </w:p>
    <w:p>
      <w:pPr>
        <w:pStyle w:val="29"/>
        <w:tabs>
          <w:tab w:val="right" w:leader="dot" w:pos="8312"/>
          <w:tab w:val="clear" w:pos="8296"/>
        </w:tabs>
        <w:spacing w:line="480" w:lineRule="auto"/>
        <w:rPr>
          <w:b w:val="0"/>
          <w:bCs w:val="0"/>
          <w:sz w:val="30"/>
          <w:szCs w:val="30"/>
          <w:highlight w:val="none"/>
        </w:rPr>
      </w:pPr>
      <w:r>
        <w:rPr>
          <w:highlight w:val="none"/>
        </w:rPr>
        <w:fldChar w:fldCharType="begin"/>
      </w:r>
      <w:r>
        <w:rPr>
          <w:highlight w:val="none"/>
        </w:rPr>
        <w:instrText xml:space="preserve"> HYPERLINK \l "_Toc22032" </w:instrText>
      </w:r>
      <w:r>
        <w:rPr>
          <w:highlight w:val="none"/>
        </w:rPr>
        <w:fldChar w:fldCharType="separate"/>
      </w:r>
      <w:r>
        <w:rPr>
          <w:rFonts w:hint="eastAsia" w:ascii="仿宋" w:hAnsi="仿宋" w:eastAsia="仿宋" w:cs="仿宋"/>
          <w:b w:val="0"/>
          <w:bCs w:val="0"/>
          <w:sz w:val="30"/>
          <w:szCs w:val="30"/>
          <w:highlight w:val="none"/>
        </w:rPr>
        <w:t>第六部分  评标方法和标准</w:t>
      </w:r>
      <w:r>
        <w:rPr>
          <w:b w:val="0"/>
          <w:bCs w:val="0"/>
          <w:sz w:val="30"/>
          <w:szCs w:val="30"/>
          <w:highlight w:val="none"/>
        </w:rPr>
        <w:tab/>
      </w:r>
      <w:r>
        <w:rPr>
          <w:b w:val="0"/>
          <w:bCs w:val="0"/>
          <w:sz w:val="30"/>
          <w:szCs w:val="30"/>
          <w:highlight w:val="none"/>
        </w:rPr>
        <w:fldChar w:fldCharType="begin"/>
      </w:r>
      <w:r>
        <w:rPr>
          <w:b w:val="0"/>
          <w:bCs w:val="0"/>
          <w:sz w:val="30"/>
          <w:szCs w:val="30"/>
          <w:highlight w:val="none"/>
        </w:rPr>
        <w:instrText xml:space="preserve"> PAGEREF _Toc22032 \h </w:instrText>
      </w:r>
      <w:r>
        <w:rPr>
          <w:b w:val="0"/>
          <w:bCs w:val="0"/>
          <w:sz w:val="30"/>
          <w:szCs w:val="30"/>
          <w:highlight w:val="none"/>
        </w:rPr>
        <w:fldChar w:fldCharType="separate"/>
      </w:r>
      <w:r>
        <w:rPr>
          <w:b w:val="0"/>
          <w:bCs w:val="0"/>
          <w:sz w:val="30"/>
          <w:szCs w:val="30"/>
          <w:highlight w:val="none"/>
        </w:rPr>
        <w:t>47</w:t>
      </w:r>
      <w:r>
        <w:rPr>
          <w:b w:val="0"/>
          <w:bCs w:val="0"/>
          <w:sz w:val="30"/>
          <w:szCs w:val="30"/>
          <w:highlight w:val="none"/>
        </w:rPr>
        <w:fldChar w:fldCharType="end"/>
      </w:r>
      <w:r>
        <w:rPr>
          <w:b w:val="0"/>
          <w:bCs w:val="0"/>
          <w:sz w:val="30"/>
          <w:szCs w:val="30"/>
          <w:highlight w:val="none"/>
        </w:rPr>
        <w:fldChar w:fldCharType="end"/>
      </w:r>
    </w:p>
    <w:p>
      <w:pPr>
        <w:pStyle w:val="3"/>
        <w:spacing w:before="0" w:after="0" w:line="480" w:lineRule="auto"/>
        <w:jc w:val="center"/>
        <w:rPr>
          <w:rFonts w:ascii="仿宋" w:hAnsi="仿宋" w:eastAsia="仿宋" w:cs="仿宋"/>
          <w:b w:val="0"/>
          <w:bCs w:val="0"/>
          <w:color w:val="000000"/>
          <w:sz w:val="40"/>
          <w:szCs w:val="40"/>
          <w:highlight w:val="none"/>
        </w:rPr>
      </w:pPr>
      <w:r>
        <w:rPr>
          <w:rFonts w:hint="eastAsia" w:ascii="仿宋" w:hAnsi="仿宋" w:eastAsia="仿宋" w:cs="仿宋"/>
          <w:b w:val="0"/>
          <w:bCs w:val="0"/>
          <w:sz w:val="30"/>
          <w:szCs w:val="30"/>
          <w:highlight w:val="none"/>
        </w:rPr>
        <w:fldChar w:fldCharType="end"/>
      </w:r>
    </w:p>
    <w:p>
      <w:pPr>
        <w:pStyle w:val="3"/>
        <w:spacing w:before="0" w:after="0" w:line="360" w:lineRule="auto"/>
        <w:jc w:val="center"/>
        <w:rPr>
          <w:rFonts w:ascii="仿宋" w:hAnsi="仿宋" w:eastAsia="仿宋" w:cs="仿宋"/>
          <w:color w:val="000000"/>
          <w:sz w:val="32"/>
          <w:szCs w:val="32"/>
          <w:highlight w:val="none"/>
        </w:rPr>
        <w:sectPr>
          <w:footerReference r:id="rId5" w:type="default"/>
          <w:pgSz w:w="11906" w:h="16838"/>
          <w:pgMar w:top="1440" w:right="1797" w:bottom="1440" w:left="1797" w:header="851" w:footer="850" w:gutter="0"/>
          <w:pgNumType w:start="1"/>
          <w:cols w:space="720" w:num="1"/>
          <w:docGrid w:linePitch="312" w:charSpace="0"/>
        </w:sectPr>
      </w:pPr>
    </w:p>
    <w:p>
      <w:pPr>
        <w:pStyle w:val="3"/>
        <w:spacing w:before="0" w:after="0" w:line="360" w:lineRule="auto"/>
        <w:jc w:val="center"/>
        <w:rPr>
          <w:rFonts w:ascii="仿宋" w:hAnsi="仿宋" w:eastAsia="仿宋" w:cs="仿宋"/>
          <w:color w:val="000000"/>
          <w:sz w:val="32"/>
          <w:szCs w:val="32"/>
          <w:highlight w:val="none"/>
        </w:rPr>
      </w:pPr>
      <w:bookmarkStart w:id="3" w:name="_Toc1464"/>
      <w:bookmarkStart w:id="4" w:name="_Toc13825"/>
      <w:bookmarkStart w:id="5" w:name="_Toc31272"/>
      <w:r>
        <w:rPr>
          <w:rFonts w:hint="eastAsia" w:ascii="仿宋" w:hAnsi="仿宋" w:eastAsia="仿宋" w:cs="仿宋"/>
          <w:color w:val="000000"/>
          <w:sz w:val="32"/>
          <w:szCs w:val="32"/>
          <w:highlight w:val="none"/>
        </w:rPr>
        <w:t>第一部分  投标邀请</w:t>
      </w:r>
      <w:bookmarkEnd w:id="0"/>
      <w:bookmarkEnd w:id="1"/>
      <w:bookmarkEnd w:id="2"/>
      <w:bookmarkEnd w:id="3"/>
      <w:bookmarkEnd w:id="4"/>
      <w:bookmarkEnd w:id="5"/>
    </w:p>
    <w:p>
      <w:pPr>
        <w:widowControl/>
        <w:spacing w:line="360" w:lineRule="auto"/>
        <w:ind w:firstLine="480" w:firstLineChars="200"/>
        <w:jc w:val="left"/>
        <w:rPr>
          <w:rFonts w:hint="eastAsia" w:ascii="仿宋" w:hAnsi="仿宋" w:eastAsia="仿宋" w:cs="仿宋"/>
          <w:sz w:val="24"/>
          <w:highlight w:val="none"/>
        </w:rPr>
      </w:pPr>
      <w:bookmarkStart w:id="6" w:name="_Toc28359087"/>
      <w:bookmarkStart w:id="7" w:name="_Toc28359010"/>
      <w:bookmarkStart w:id="8" w:name="_Toc365831933"/>
      <w:bookmarkStart w:id="9" w:name="_Toc320508771"/>
      <w:r>
        <w:rPr>
          <w:rFonts w:hint="eastAsia" w:ascii="仿宋" w:hAnsi="仿宋" w:eastAsia="仿宋" w:cs="仿宋"/>
          <w:sz w:val="24"/>
          <w:highlight w:val="none"/>
        </w:rPr>
        <w:t>项目概况</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吉林省残疾人中等职业学校业务外包服务项目的潜在投标人应在吉林省公共资源交易中心网站投标人系统内获取招标文件，并于</w:t>
      </w:r>
      <w:bookmarkStart w:id="10" w:name="开标开始时间（精确到时分）"/>
      <w:r>
        <w:rPr>
          <w:rFonts w:hint="eastAsia" w:ascii="仿宋" w:hAnsi="仿宋" w:eastAsia="仿宋" w:cs="仿宋"/>
          <w:sz w:val="24"/>
          <w:highlight w:val="none"/>
        </w:rPr>
        <w:t>2022年03月21日 09:00</w:t>
      </w:r>
      <w:bookmarkEnd w:id="10"/>
      <w:r>
        <w:rPr>
          <w:rFonts w:hint="eastAsia" w:ascii="仿宋" w:hAnsi="仿宋" w:eastAsia="仿宋" w:cs="仿宋"/>
          <w:sz w:val="24"/>
          <w:highlight w:val="none"/>
        </w:rPr>
        <w:t>（北京时间）前递交投标文件。</w:t>
      </w:r>
    </w:p>
    <w:p>
      <w:pPr>
        <w:widowControl/>
        <w:spacing w:line="360" w:lineRule="auto"/>
        <w:ind w:firstLine="480" w:firstLineChars="200"/>
        <w:jc w:val="left"/>
        <w:rPr>
          <w:rFonts w:hint="eastAsia" w:ascii="仿宋" w:hAnsi="仿宋" w:eastAsia="仿宋" w:cs="仿宋"/>
          <w:sz w:val="24"/>
          <w:highlight w:val="none"/>
        </w:rPr>
      </w:pPr>
      <w:bookmarkStart w:id="11" w:name="_Toc35393790"/>
      <w:bookmarkEnd w:id="11"/>
      <w:bookmarkStart w:id="12" w:name="_Toc28359002"/>
      <w:bookmarkEnd w:id="12"/>
      <w:bookmarkStart w:id="13" w:name="_Toc35393621"/>
      <w:bookmarkEnd w:id="13"/>
      <w:bookmarkStart w:id="14" w:name="_Toc28359079"/>
      <w:bookmarkEnd w:id="14"/>
      <w:bookmarkStart w:id="15" w:name="_Hlk24379207"/>
      <w:r>
        <w:rPr>
          <w:rFonts w:hint="eastAsia" w:ascii="仿宋" w:hAnsi="仿宋" w:eastAsia="仿宋" w:cs="仿宋"/>
          <w:sz w:val="24"/>
          <w:highlight w:val="none"/>
        </w:rPr>
        <w:t>一、项目基本情况</w:t>
      </w:r>
      <w:bookmarkEnd w:id="15"/>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项目编号：CCKSTC-22ZFFW0019</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项目名称：吉林省残疾人中等职业学校业务外包服务项目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预算金额：</w:t>
      </w:r>
      <w:bookmarkStart w:id="16" w:name="项目预算金额"/>
      <w:r>
        <w:rPr>
          <w:rFonts w:hint="eastAsia" w:ascii="仿宋" w:hAnsi="仿宋" w:eastAsia="仿宋" w:cs="仿宋"/>
          <w:sz w:val="24"/>
          <w:highlight w:val="none"/>
        </w:rPr>
        <w:t>394万元</w:t>
      </w:r>
      <w:bookmarkEnd w:id="16"/>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最高限价：394万元</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采购需求：</w:t>
      </w:r>
      <w:bookmarkStart w:id="17" w:name="获取委托代理协议中的采购内容"/>
      <w:bookmarkEnd w:id="17"/>
      <w:r>
        <w:rPr>
          <w:rFonts w:hint="eastAsia" w:ascii="仿宋" w:hAnsi="仿宋" w:eastAsia="仿宋" w:cs="仿宋"/>
          <w:sz w:val="24"/>
          <w:highlight w:val="none"/>
        </w:rPr>
        <w:t>业务外包服务项目（详见招标文件）。</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合同履行期限：</w:t>
      </w:r>
      <w:r>
        <w:rPr>
          <w:rFonts w:hint="eastAsia" w:ascii="仿宋" w:hAnsi="仿宋" w:eastAsia="仿宋" w:cs="仿宋"/>
          <w:sz w:val="24"/>
          <w:highlight w:val="none"/>
          <w:lang w:val="en-US" w:eastAsia="zh-CN"/>
        </w:rPr>
        <w:t>1年。</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本项目不接受联合体投标。</w:t>
      </w:r>
    </w:p>
    <w:p>
      <w:pPr>
        <w:widowControl/>
        <w:spacing w:line="360" w:lineRule="auto"/>
        <w:ind w:firstLine="480" w:firstLineChars="200"/>
        <w:jc w:val="left"/>
        <w:rPr>
          <w:rFonts w:hint="eastAsia" w:ascii="仿宋" w:hAnsi="仿宋" w:eastAsia="仿宋" w:cs="仿宋"/>
          <w:sz w:val="24"/>
          <w:highlight w:val="none"/>
        </w:rPr>
      </w:pPr>
      <w:bookmarkStart w:id="18" w:name="_Toc28359080"/>
      <w:bookmarkEnd w:id="18"/>
      <w:bookmarkStart w:id="19" w:name="_Toc28359003"/>
      <w:bookmarkEnd w:id="19"/>
      <w:bookmarkStart w:id="20" w:name="_Toc35393622"/>
      <w:bookmarkEnd w:id="20"/>
      <w:bookmarkStart w:id="21" w:name="_Toc35393791"/>
      <w:r>
        <w:rPr>
          <w:rFonts w:hint="eastAsia" w:ascii="仿宋" w:hAnsi="仿宋" w:eastAsia="仿宋" w:cs="仿宋"/>
          <w:sz w:val="24"/>
          <w:highlight w:val="none"/>
        </w:rPr>
        <w:t>二、申请人的资格要求：</w:t>
      </w:r>
      <w:bookmarkEnd w:id="21"/>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1.根据《中华人民共和国政府采购法》第二十二条、《中华人民共和国政府采购法实施条例》第十七条及相关法律法规，要求如下:</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1.1有效的营业执照。</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1.2近一年</w:t>
      </w:r>
      <w:r>
        <w:rPr>
          <w:rFonts w:hint="eastAsia" w:ascii="仿宋" w:hAnsi="仿宋" w:eastAsia="仿宋" w:cs="仿宋"/>
          <w:sz w:val="24"/>
          <w:highlight w:val="none"/>
          <w:lang w:val="zh-CN"/>
        </w:rPr>
        <w:t>（</w:t>
      </w:r>
      <w:r>
        <w:rPr>
          <w:rFonts w:hint="eastAsia" w:ascii="仿宋" w:hAnsi="仿宋" w:eastAsia="仿宋" w:cs="仿宋"/>
          <w:sz w:val="24"/>
          <w:highlight w:val="none"/>
        </w:rPr>
        <w:t>2020年</w:t>
      </w:r>
      <w:r>
        <w:rPr>
          <w:rFonts w:hint="eastAsia" w:ascii="仿宋" w:hAnsi="仿宋" w:eastAsia="仿宋" w:cs="仿宋"/>
          <w:sz w:val="24"/>
          <w:highlight w:val="none"/>
          <w:lang w:val="zh-CN"/>
        </w:rPr>
        <w:t>）</w:t>
      </w:r>
      <w:r>
        <w:rPr>
          <w:rFonts w:hint="eastAsia" w:ascii="仿宋" w:hAnsi="仿宋" w:eastAsia="仿宋" w:cs="仿宋"/>
          <w:sz w:val="24"/>
          <w:highlight w:val="none"/>
        </w:rPr>
        <w:t>财务审计报告或基本账户</w:t>
      </w:r>
      <w:bookmarkStart w:id="256" w:name="_GoBack"/>
      <w:r>
        <w:rPr>
          <w:rFonts w:hint="eastAsia" w:ascii="仿宋" w:hAnsi="仿宋" w:eastAsia="仿宋" w:cs="仿宋"/>
          <w:sz w:val="24"/>
          <w:highlight w:val="none"/>
        </w:rPr>
        <w:t>开户银行出具</w:t>
      </w:r>
      <w:bookmarkEnd w:id="256"/>
      <w:r>
        <w:rPr>
          <w:rFonts w:hint="eastAsia" w:ascii="仿宋" w:hAnsi="仿宋" w:eastAsia="仿宋" w:cs="仿宋"/>
          <w:sz w:val="24"/>
          <w:highlight w:val="none"/>
        </w:rPr>
        <w:t>的资信证明。</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1.3近一年任意三个月缴纳增值税、企业所得税的凭据。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1.4近一年任意三个月缴纳社会保险专用收据或社会保险缴纳清单。</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1.5近三年（2019-2021）没有违法、违纪行为，在行业内没有不良行为记录，提供“信用中国”（www.creditchina.gov.cn）未列入①失信被执行人②重大税收违法案件当事人名单③政府采购严重违法失信名单的官网截图并加盖公章，提供“中国政府采购网”（www.ccgp.gov.cn）未列入政府采购严重违法失信行为记录名单的官网截图并加盖公章。</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1.6单位负责人为同一人或者存在直接控股、管理关系的不同供应商，不得参加同一合同项下的政府采购活动。</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1.7为采购项目提供整体设计、规范编制或者项目管理、监理、检测等服务的供应商，不得再参加该采购项目的其他采购活动。</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1.8具备国家有关主管部门批准的制造（和/或经销）本招标项目标的合法资格。</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 xml:space="preserve">2.落实政府采购政策需满足的资格要求：本项目是专门面向中小企业的项目，《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等；        </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3.本项目的特定资格要求：供应商应具备人力资源和社会保障部门颁发的《劳务派遣经营许可证》和《人力资源服务许可证》，并具备相应的专业队伍、经验、技术和装备。</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三、获取招标文件</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时间：自2022年</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24</w:t>
      </w:r>
      <w:r>
        <w:rPr>
          <w:rFonts w:hint="eastAsia" w:ascii="仿宋" w:hAnsi="仿宋" w:eastAsia="仿宋" w:cs="仿宋"/>
          <w:sz w:val="24"/>
          <w:highlight w:val="none"/>
        </w:rPr>
        <w:t>日上午8：30时起至</w:t>
      </w:r>
      <w:bookmarkStart w:id="22" w:name="公告发布截止时间（精确到时分）"/>
      <w:r>
        <w:rPr>
          <w:rFonts w:hint="eastAsia" w:ascii="仿宋" w:hAnsi="仿宋" w:eastAsia="仿宋" w:cs="仿宋"/>
          <w:sz w:val="24"/>
          <w:highlight w:val="none"/>
        </w:rPr>
        <w:t>2022年</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日 16:00</w:t>
      </w:r>
      <w:bookmarkEnd w:id="22"/>
      <w:r>
        <w:rPr>
          <w:rFonts w:hint="eastAsia" w:ascii="仿宋" w:hAnsi="仿宋" w:eastAsia="仿宋" w:cs="仿宋"/>
          <w:sz w:val="24"/>
          <w:highlight w:val="none"/>
        </w:rPr>
        <w:t>（北京时间，法定节假日除外）</w:t>
      </w:r>
    </w:p>
    <w:p>
      <w:pPr>
        <w:widowControl/>
        <w:spacing w:line="360" w:lineRule="auto"/>
        <w:ind w:firstLine="480" w:firstLineChars="200"/>
        <w:jc w:val="left"/>
        <w:rPr>
          <w:rFonts w:hint="eastAsia" w:ascii="仿宋" w:hAnsi="仿宋" w:eastAsia="仿宋" w:cs="仿宋"/>
          <w:sz w:val="24"/>
          <w:highlight w:val="none"/>
        </w:rPr>
      </w:pPr>
      <w:bookmarkStart w:id="23" w:name="_Toc28359082"/>
      <w:bookmarkEnd w:id="23"/>
      <w:bookmarkStart w:id="24" w:name="_Toc28359005"/>
      <w:bookmarkEnd w:id="24"/>
      <w:bookmarkStart w:id="25" w:name="_Toc35393793"/>
      <w:bookmarkEnd w:id="25"/>
      <w:bookmarkStart w:id="26" w:name="_Toc35393624"/>
      <w:r>
        <w:rPr>
          <w:rFonts w:hint="eastAsia" w:ascii="仿宋" w:hAnsi="仿宋" w:eastAsia="仿宋" w:cs="仿宋"/>
          <w:sz w:val="24"/>
          <w:highlight w:val="none"/>
        </w:rPr>
        <w:t>请有意投标的供应商特别注意：</w:t>
      </w:r>
      <w:bookmarkEnd w:id="26"/>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1.首先登录吉林省公共资源交易中心（吉林省政府采购中心）网（www.ggzyzx.jl.gov.cn），按照规定进行投标人注册登记，网上注册登记后，请携带相关材料到国投安信数字证书认证有限公司办理CA认证。未进行网上注册并办理CA认证的投标人将无法参与吉林省公共资源交易中心（吉林省政府采购中心）组织的所有招标采购活动。  </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 xml:space="preserve">2.投标人取得CA认证后，可登录吉林省公共资源交易中心（吉林省政府采购中心）网站“公共资源交易主体登录-&gt;投标人”登录后选择“采购业务-&gt;交易文件下载”下载电子招标文件。投标人下载招标文件后，务必在规定的“获取招标文件结束时间”之前操作“投标报名”并完善相关投标信息，点击“确认报名”按钮确认参加投标才具有投标资格。如果投标人在规定的“获取招标文件结束时间”之前没有点击“确认报名”按钮确认参加投标，将失去参加本项目投标的资格。 </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3.凡与本中心招投标活动有关的时间，均以吉林省公共资源交易中心（吉林省政府采购中心）服务器显示的时间为准。</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4.技术支持联系方式：投标人注册,CA数字证书 （USBKey）及电子签章办理咨询电话：0431-85177688；技术支持电话：400-998-0000。</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四、提交投标文件截止时间、开标时间和地点</w:t>
      </w:r>
    </w:p>
    <w:p>
      <w:pPr>
        <w:widowControl/>
        <w:spacing w:line="360" w:lineRule="auto"/>
        <w:ind w:firstLine="480" w:firstLineChars="200"/>
        <w:jc w:val="left"/>
        <w:rPr>
          <w:rFonts w:hint="eastAsia" w:ascii="仿宋" w:hAnsi="仿宋" w:eastAsia="仿宋" w:cs="仿宋"/>
          <w:sz w:val="24"/>
          <w:highlight w:val="none"/>
        </w:rPr>
      </w:pPr>
      <w:bookmarkStart w:id="27" w:name="获取开标开始时间（精确到时分）"/>
      <w:r>
        <w:rPr>
          <w:rFonts w:hint="eastAsia" w:ascii="仿宋" w:hAnsi="仿宋" w:eastAsia="仿宋" w:cs="仿宋"/>
          <w:sz w:val="24"/>
          <w:highlight w:val="none"/>
        </w:rPr>
        <w:t>时间：2022年03月21日 09:00</w:t>
      </w:r>
      <w:bookmarkEnd w:id="27"/>
      <w:r>
        <w:rPr>
          <w:rFonts w:hint="eastAsia" w:ascii="仿宋" w:hAnsi="仿宋" w:eastAsia="仿宋" w:cs="仿宋"/>
          <w:sz w:val="24"/>
          <w:highlight w:val="none"/>
        </w:rPr>
        <w:t>（北京时间）</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地点：吉林省公共资源交易中心</w:t>
      </w:r>
      <w:bookmarkStart w:id="28" w:name="获取开标室"/>
      <w:r>
        <w:rPr>
          <w:rFonts w:hint="eastAsia" w:ascii="仿宋" w:hAnsi="仿宋" w:eastAsia="仿宋" w:cs="仿宋"/>
          <w:sz w:val="24"/>
          <w:highlight w:val="none"/>
        </w:rPr>
        <w:t>开标室</w:t>
      </w:r>
      <w:bookmarkEnd w:id="28"/>
    </w:p>
    <w:p>
      <w:pPr>
        <w:widowControl/>
        <w:spacing w:line="360" w:lineRule="auto"/>
        <w:ind w:firstLine="480" w:firstLineChars="200"/>
        <w:jc w:val="left"/>
        <w:rPr>
          <w:rFonts w:hint="eastAsia" w:ascii="仿宋" w:hAnsi="仿宋" w:eastAsia="仿宋" w:cs="仿宋"/>
          <w:sz w:val="24"/>
          <w:highlight w:val="none"/>
        </w:rPr>
      </w:pPr>
      <w:bookmarkStart w:id="29" w:name="_Toc35393625"/>
      <w:bookmarkEnd w:id="29"/>
      <w:bookmarkStart w:id="30" w:name="_Toc28359084"/>
      <w:bookmarkEnd w:id="30"/>
      <w:bookmarkStart w:id="31" w:name="_Toc28359007"/>
      <w:bookmarkEnd w:id="31"/>
      <w:bookmarkStart w:id="32" w:name="_Toc35393794"/>
      <w:r>
        <w:rPr>
          <w:rFonts w:hint="eastAsia" w:ascii="仿宋" w:hAnsi="仿宋" w:eastAsia="仿宋" w:cs="仿宋"/>
          <w:sz w:val="24"/>
          <w:highlight w:val="none"/>
        </w:rPr>
        <w:t>五、公告期限</w:t>
      </w:r>
      <w:bookmarkEnd w:id="32"/>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widowControl/>
        <w:spacing w:line="360" w:lineRule="auto"/>
        <w:ind w:firstLine="480" w:firstLineChars="200"/>
        <w:jc w:val="left"/>
        <w:rPr>
          <w:rFonts w:hint="eastAsia" w:ascii="仿宋" w:hAnsi="仿宋" w:eastAsia="仿宋" w:cs="仿宋"/>
          <w:sz w:val="24"/>
          <w:highlight w:val="none"/>
        </w:rPr>
      </w:pPr>
      <w:bookmarkStart w:id="33" w:name="_Toc35393626"/>
      <w:bookmarkEnd w:id="33"/>
      <w:bookmarkStart w:id="34" w:name="_Toc35393795"/>
      <w:r>
        <w:rPr>
          <w:rFonts w:hint="eastAsia" w:ascii="仿宋" w:hAnsi="仿宋" w:eastAsia="仿宋" w:cs="仿宋"/>
          <w:sz w:val="24"/>
          <w:highlight w:val="none"/>
          <w:lang w:val="en-US" w:eastAsia="zh-CN"/>
        </w:rPr>
        <w:t>六、</w:t>
      </w:r>
      <w:r>
        <w:rPr>
          <w:rFonts w:hint="eastAsia" w:ascii="仿宋" w:hAnsi="仿宋" w:eastAsia="仿宋" w:cs="仿宋"/>
          <w:sz w:val="24"/>
          <w:highlight w:val="none"/>
        </w:rPr>
        <w:t>其他补充事宜</w:t>
      </w:r>
      <w:bookmarkEnd w:id="34"/>
    </w:p>
    <w:p>
      <w:pPr>
        <w:widowControl/>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 1.投标保证金：</w:t>
      </w:r>
    </w:p>
    <w:p>
      <w:pPr>
        <w:widowControl/>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投标保证金：1.5万元，投标截止时间前交至招标代理公司指定账户。</w:t>
      </w:r>
    </w:p>
    <w:p>
      <w:pPr>
        <w:widowControl/>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开户行：中国民生银行股份有限公司长春一汽支行</w:t>
      </w:r>
    </w:p>
    <w:p>
      <w:pPr>
        <w:widowControl/>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账户名称：长春市科胜招标投标代理有限公司</w:t>
      </w:r>
    </w:p>
    <w:p>
      <w:pPr>
        <w:widowControl/>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投标保证金账号：694984013</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2.发布公告的媒介：吉林省公共资源交易公共服务平台、吉林省政府采购网、中国政府采购网。</w:t>
      </w:r>
    </w:p>
    <w:p>
      <w:pPr>
        <w:widowControl/>
        <w:spacing w:line="360" w:lineRule="auto"/>
        <w:ind w:firstLine="480" w:firstLineChars="200"/>
        <w:jc w:val="left"/>
        <w:rPr>
          <w:rFonts w:hint="eastAsia" w:ascii="仿宋" w:hAnsi="仿宋" w:eastAsia="仿宋" w:cs="仿宋"/>
          <w:sz w:val="24"/>
          <w:highlight w:val="none"/>
        </w:rPr>
      </w:pPr>
      <w:bookmarkStart w:id="35" w:name="_Toc35393627"/>
      <w:bookmarkEnd w:id="35"/>
      <w:bookmarkStart w:id="36" w:name="_Toc28359008"/>
      <w:bookmarkEnd w:id="36"/>
      <w:bookmarkStart w:id="37" w:name="_Toc28359085"/>
      <w:bookmarkEnd w:id="37"/>
      <w:bookmarkStart w:id="38" w:name="_Toc35393796"/>
      <w:r>
        <w:rPr>
          <w:rFonts w:hint="eastAsia" w:ascii="仿宋" w:hAnsi="仿宋" w:eastAsia="仿宋" w:cs="仿宋"/>
          <w:sz w:val="24"/>
          <w:highlight w:val="none"/>
        </w:rPr>
        <w:t>七、对本次招标提出询问，请按以下方式联系。</w:t>
      </w:r>
      <w:bookmarkEnd w:id="38"/>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1.采购人信息</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名  称：吉林省残疾人中等职业学校</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地  址：吉林省长春市绿园区青浦路396号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联系人：邵胜东</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联系方式：</w:t>
      </w:r>
      <w:bookmarkStart w:id="39" w:name="_Toc28359009"/>
      <w:bookmarkEnd w:id="39"/>
      <w:bookmarkStart w:id="40" w:name="_Toc28359086"/>
      <w:bookmarkEnd w:id="40"/>
      <w:r>
        <w:rPr>
          <w:rFonts w:hint="eastAsia" w:ascii="仿宋" w:hAnsi="仿宋" w:eastAsia="仿宋" w:cs="仿宋"/>
          <w:sz w:val="24"/>
          <w:highlight w:val="none"/>
        </w:rPr>
        <w:t>13904311986</w:t>
      </w:r>
    </w:p>
    <w:p>
      <w:pPr>
        <w:widowControl/>
        <w:spacing w:line="360" w:lineRule="auto"/>
        <w:ind w:firstLine="480" w:firstLineChars="200"/>
        <w:jc w:val="left"/>
        <w:rPr>
          <w:rFonts w:hint="eastAsia" w:ascii="仿宋" w:hAnsi="仿宋" w:eastAsia="仿宋" w:cs="仿宋"/>
          <w:sz w:val="24"/>
          <w:highlight w:val="none"/>
        </w:rPr>
      </w:pP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2.采购代理机构信息</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名  称：</w:t>
      </w:r>
      <w:bookmarkStart w:id="41" w:name="获取采购代理名称"/>
      <w:r>
        <w:rPr>
          <w:rFonts w:hint="eastAsia" w:ascii="仿宋" w:hAnsi="仿宋" w:eastAsia="仿宋" w:cs="仿宋"/>
          <w:sz w:val="24"/>
          <w:highlight w:val="none"/>
        </w:rPr>
        <w:t>长春市科胜招标投标代理有限公司</w:t>
      </w:r>
      <w:bookmarkEnd w:id="41"/>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地  址：</w:t>
      </w:r>
      <w:bookmarkStart w:id="42" w:name="获取采购代理地址"/>
      <w:r>
        <w:rPr>
          <w:rFonts w:hint="eastAsia" w:ascii="仿宋" w:hAnsi="仿宋" w:eastAsia="仿宋" w:cs="仿宋"/>
          <w:sz w:val="24"/>
          <w:highlight w:val="none"/>
        </w:rPr>
        <w:t>长春市高新技术产业开发区宇光街399号</w:t>
      </w:r>
      <w:bookmarkEnd w:id="42"/>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联系方式：0431-80549187</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E-mail:keshengzhaobiao21@163.com</w:t>
      </w:r>
    </w:p>
    <w:p>
      <w:pPr>
        <w:widowControl/>
        <w:spacing w:line="360" w:lineRule="auto"/>
        <w:ind w:firstLine="480" w:firstLineChars="200"/>
        <w:jc w:val="left"/>
        <w:rPr>
          <w:rFonts w:hint="eastAsia" w:ascii="仿宋" w:hAnsi="仿宋" w:eastAsia="仿宋" w:cs="仿宋"/>
          <w:sz w:val="24"/>
          <w:highlight w:val="none"/>
        </w:rPr>
      </w:pPr>
    </w:p>
    <w:p>
      <w:pPr>
        <w:widowControl/>
        <w:spacing w:line="360" w:lineRule="auto"/>
        <w:ind w:firstLine="480" w:firstLineChars="200"/>
        <w:jc w:val="left"/>
        <w:rPr>
          <w:rFonts w:hint="eastAsia" w:ascii="仿宋" w:hAnsi="仿宋" w:eastAsia="仿宋" w:cs="仿宋"/>
          <w:sz w:val="24"/>
          <w:highlight w:val="none"/>
        </w:rPr>
      </w:pPr>
      <w:bookmarkStart w:id="43" w:name="_Toc26380"/>
      <w:r>
        <w:rPr>
          <w:rFonts w:hint="eastAsia" w:ascii="仿宋" w:hAnsi="仿宋" w:eastAsia="仿宋" w:cs="仿宋"/>
          <w:sz w:val="24"/>
          <w:highlight w:val="none"/>
        </w:rPr>
        <w:t>3.项目联系方式</w:t>
      </w:r>
      <w:bookmarkEnd w:id="43"/>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项目联系人：王璐</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电   话：0431-80549187</w:t>
      </w:r>
    </w:p>
    <w:p>
      <w:pPr>
        <w:widowControl/>
        <w:spacing w:line="360" w:lineRule="auto"/>
        <w:ind w:firstLine="480" w:firstLineChars="200"/>
        <w:jc w:val="center"/>
        <w:rPr>
          <w:rFonts w:ascii="仿宋" w:hAnsi="仿宋" w:eastAsia="仿宋" w:cs="仿宋"/>
          <w:color w:val="000000"/>
          <w:szCs w:val="21"/>
          <w:highlight w:val="none"/>
        </w:rPr>
      </w:pPr>
      <w:r>
        <w:rPr>
          <w:rFonts w:hint="eastAsia" w:ascii="仿宋" w:hAnsi="仿宋" w:eastAsia="仿宋" w:cs="仿宋"/>
          <w:sz w:val="24"/>
          <w:highlight w:val="none"/>
        </w:rPr>
        <w:br w:type="page"/>
      </w:r>
      <w:bookmarkEnd w:id="6"/>
      <w:bookmarkEnd w:id="7"/>
      <w:bookmarkStart w:id="44" w:name="_Toc22879"/>
      <w:bookmarkStart w:id="45" w:name="_Toc15583"/>
      <w:bookmarkStart w:id="46" w:name="_Toc16003"/>
      <w:bookmarkStart w:id="47" w:name="_Toc6595"/>
      <w:r>
        <w:rPr>
          <w:rStyle w:val="61"/>
          <w:rFonts w:hint="eastAsia" w:ascii="仿宋" w:hAnsi="仿宋" w:eastAsia="仿宋" w:cs="仿宋"/>
          <w:sz w:val="32"/>
          <w:szCs w:val="32"/>
          <w:highlight w:val="none"/>
        </w:rPr>
        <w:t>第二部分  投标人须知</w:t>
      </w:r>
      <w:bookmarkEnd w:id="8"/>
      <w:bookmarkEnd w:id="9"/>
      <w:bookmarkEnd w:id="44"/>
      <w:bookmarkEnd w:id="45"/>
      <w:bookmarkEnd w:id="46"/>
      <w:bookmarkEnd w:id="47"/>
    </w:p>
    <w:p>
      <w:pPr>
        <w:pStyle w:val="4"/>
        <w:adjustRightInd/>
        <w:spacing w:before="0" w:line="360" w:lineRule="auto"/>
        <w:rPr>
          <w:rFonts w:ascii="仿宋" w:hAnsi="仿宋" w:eastAsia="仿宋" w:cs="仿宋"/>
          <w:color w:val="000000"/>
          <w:sz w:val="24"/>
          <w:szCs w:val="24"/>
          <w:highlight w:val="none"/>
        </w:rPr>
      </w:pPr>
      <w:bookmarkStart w:id="48" w:name="_Toc365831934"/>
      <w:bookmarkStart w:id="49" w:name="_Toc11766"/>
      <w:bookmarkStart w:id="50" w:name="_Toc320508772"/>
      <w:r>
        <w:rPr>
          <w:rFonts w:hint="eastAsia" w:ascii="仿宋" w:hAnsi="仿宋" w:eastAsia="仿宋" w:cs="仿宋"/>
          <w:bCs/>
          <w:color w:val="000000"/>
          <w:sz w:val="24"/>
          <w:szCs w:val="24"/>
          <w:highlight w:val="none"/>
        </w:rPr>
        <w:t>投标人</w:t>
      </w:r>
      <w:r>
        <w:rPr>
          <w:rFonts w:hint="eastAsia" w:ascii="仿宋" w:hAnsi="仿宋" w:eastAsia="仿宋" w:cs="仿宋"/>
          <w:color w:val="000000"/>
          <w:sz w:val="24"/>
          <w:szCs w:val="24"/>
          <w:highlight w:val="none"/>
        </w:rPr>
        <w:t>须知前附表</w:t>
      </w:r>
      <w:bookmarkEnd w:id="48"/>
      <w:bookmarkEnd w:id="49"/>
      <w:bookmarkEnd w:id="50"/>
    </w:p>
    <w:p>
      <w:pPr>
        <w:pStyle w:val="11"/>
        <w:adjustRightInd/>
        <w:spacing w:line="400" w:lineRule="exact"/>
        <w:ind w:firstLine="480" w:firstLineChars="200"/>
        <w:jc w:val="both"/>
        <w:rPr>
          <w:rFonts w:ascii="仿宋" w:hAnsi="仿宋" w:eastAsia="仿宋" w:cs="仿宋"/>
          <w:color w:val="000000"/>
          <w:szCs w:val="24"/>
          <w:highlight w:val="none"/>
        </w:rPr>
      </w:pPr>
      <w:r>
        <w:rPr>
          <w:rFonts w:hint="eastAsia" w:ascii="仿宋" w:hAnsi="仿宋" w:eastAsia="仿宋" w:cs="仿宋"/>
          <w:color w:val="000000"/>
          <w:szCs w:val="24"/>
          <w:highlight w:val="none"/>
        </w:rPr>
        <w:t>本表是关于招标的具体资料，是对投标人须知的具体补充和修改，如有矛盾，应以本资料表为准。</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序号</w:t>
            </w:r>
          </w:p>
        </w:tc>
        <w:tc>
          <w:tcPr>
            <w:tcW w:w="7882" w:type="dxa"/>
            <w:vAlign w:val="center"/>
          </w:tcPr>
          <w:p>
            <w:pPr>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pStyle w:val="95"/>
              <w:ind w:left="1200" w:hanging="1200" w:hangingChars="500"/>
              <w:jc w:val="both"/>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项目名称：吉林省残疾人中等职业学校业务外包服务项目</w:t>
            </w:r>
          </w:p>
          <w:p>
            <w:pPr>
              <w:pStyle w:val="95"/>
              <w:jc w:val="both"/>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项目编号：</w:t>
            </w:r>
            <w:r>
              <w:rPr>
                <w:rFonts w:hint="eastAsia" w:ascii="仿宋" w:hAnsi="仿宋" w:eastAsia="仿宋" w:cs="仿宋"/>
                <w:sz w:val="24"/>
                <w:highlight w:val="none"/>
              </w:rPr>
              <w:t>CCKSTC-22ZFFW0019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rPr>
                <w:rFonts w:ascii="仿宋" w:hAnsi="仿宋" w:eastAsia="仿宋" w:cs="仿宋"/>
                <w:color w:val="000000"/>
                <w:sz w:val="24"/>
                <w:highlight w:val="none"/>
              </w:rPr>
            </w:pPr>
            <w:r>
              <w:rPr>
                <w:rFonts w:hint="eastAsia" w:ascii="仿宋" w:hAnsi="仿宋" w:eastAsia="仿宋" w:cs="仿宋"/>
                <w:color w:val="000000"/>
                <w:sz w:val="24"/>
                <w:highlight w:val="none"/>
              </w:rPr>
              <w:t>采购人：吉林省残疾人中等职业学校</w:t>
            </w:r>
          </w:p>
          <w:p>
            <w:pPr>
              <w:rPr>
                <w:rFonts w:ascii="仿宋" w:hAnsi="仿宋" w:eastAsia="仿宋" w:cs="仿宋"/>
                <w:color w:val="000000"/>
                <w:sz w:val="24"/>
                <w:highlight w:val="none"/>
              </w:rPr>
            </w:pPr>
            <w:r>
              <w:rPr>
                <w:rFonts w:hint="eastAsia" w:ascii="仿宋" w:hAnsi="仿宋" w:eastAsia="仿宋" w:cs="仿宋"/>
                <w:color w:val="000000"/>
                <w:sz w:val="24"/>
                <w:highlight w:val="none"/>
              </w:rPr>
              <w:t>地  址：吉林省长春市绿园区青浦路396号</w:t>
            </w:r>
          </w:p>
          <w:p>
            <w:pPr>
              <w:rPr>
                <w:rFonts w:ascii="仿宋" w:hAnsi="仿宋" w:eastAsia="仿宋" w:cs="仿宋"/>
                <w:color w:val="000000"/>
                <w:sz w:val="24"/>
                <w:highlight w:val="none"/>
              </w:rPr>
            </w:pPr>
            <w:r>
              <w:rPr>
                <w:rFonts w:hint="eastAsia" w:ascii="仿宋" w:hAnsi="仿宋" w:eastAsia="仿宋" w:cs="仿宋"/>
                <w:color w:val="000000"/>
                <w:sz w:val="24"/>
                <w:highlight w:val="none"/>
              </w:rPr>
              <w:t>联系人：邵胜东</w:t>
            </w:r>
          </w:p>
          <w:p>
            <w:pPr>
              <w:rPr>
                <w:rFonts w:ascii="仿宋" w:hAnsi="仿宋" w:eastAsia="仿宋" w:cs="仿宋"/>
                <w:color w:val="000000"/>
                <w:sz w:val="24"/>
                <w:highlight w:val="none"/>
              </w:rPr>
            </w:pPr>
            <w:r>
              <w:rPr>
                <w:rFonts w:hint="eastAsia" w:ascii="仿宋" w:hAnsi="仿宋" w:eastAsia="仿宋" w:cs="仿宋"/>
                <w:color w:val="000000"/>
                <w:sz w:val="24"/>
                <w:highlight w:val="none"/>
              </w:rPr>
              <w:t>联系方式：13904311986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rPr>
                <w:rFonts w:ascii="仿宋" w:hAnsi="仿宋" w:eastAsia="仿宋" w:cs="仿宋"/>
                <w:color w:val="000000"/>
                <w:sz w:val="24"/>
                <w:highlight w:val="none"/>
              </w:rPr>
            </w:pPr>
            <w:r>
              <w:rPr>
                <w:rFonts w:hint="eastAsia" w:ascii="仿宋" w:hAnsi="仿宋" w:eastAsia="仿宋" w:cs="仿宋"/>
                <w:color w:val="000000"/>
                <w:sz w:val="24"/>
                <w:highlight w:val="none"/>
              </w:rPr>
              <w:t>采购代理机构：长春市科胜招标投标代理有限公司</w:t>
            </w:r>
          </w:p>
          <w:p>
            <w:pPr>
              <w:rPr>
                <w:rFonts w:ascii="仿宋" w:hAnsi="仿宋" w:eastAsia="仿宋" w:cs="仿宋"/>
                <w:color w:val="000000"/>
                <w:sz w:val="24"/>
                <w:highlight w:val="none"/>
              </w:rPr>
            </w:pPr>
            <w:r>
              <w:rPr>
                <w:rFonts w:hint="eastAsia" w:ascii="仿宋" w:hAnsi="仿宋" w:eastAsia="仿宋" w:cs="仿宋"/>
                <w:color w:val="000000"/>
                <w:sz w:val="24"/>
                <w:highlight w:val="none"/>
              </w:rPr>
              <w:t>地  址：吉林省长春市高新区宇光街399号</w:t>
            </w:r>
          </w:p>
          <w:p>
            <w:pPr>
              <w:rPr>
                <w:rFonts w:ascii="仿宋" w:hAnsi="仿宋" w:eastAsia="仿宋" w:cs="仿宋"/>
                <w:color w:val="000000"/>
                <w:sz w:val="24"/>
                <w:highlight w:val="none"/>
              </w:rPr>
            </w:pPr>
            <w:r>
              <w:rPr>
                <w:rFonts w:hint="eastAsia" w:ascii="仿宋" w:hAnsi="仿宋" w:eastAsia="仿宋" w:cs="仿宋"/>
                <w:color w:val="000000"/>
                <w:sz w:val="24"/>
                <w:highlight w:val="none"/>
              </w:rPr>
              <w:t>联系人：</w:t>
            </w:r>
            <w:r>
              <w:rPr>
                <w:rFonts w:hint="eastAsia" w:ascii="仿宋" w:hAnsi="仿宋" w:eastAsia="仿宋" w:cs="仿宋"/>
                <w:sz w:val="24"/>
                <w:highlight w:val="none"/>
              </w:rPr>
              <w:t>王璐</w:t>
            </w:r>
          </w:p>
          <w:p>
            <w:pPr>
              <w:rPr>
                <w:rFonts w:ascii="仿宋" w:hAnsi="仿宋" w:eastAsia="仿宋" w:cs="仿宋"/>
                <w:color w:val="000000"/>
                <w:sz w:val="24"/>
                <w:highlight w:val="none"/>
              </w:rPr>
            </w:pPr>
            <w:r>
              <w:rPr>
                <w:rFonts w:hint="eastAsia" w:ascii="仿宋" w:hAnsi="仿宋" w:eastAsia="仿宋" w:cs="仿宋"/>
                <w:color w:val="000000"/>
                <w:sz w:val="24"/>
                <w:highlight w:val="none"/>
              </w:rPr>
              <w:t>电  话：0431-80549187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rPr>
                <w:rFonts w:ascii="仿宋" w:hAnsi="仿宋" w:eastAsia="仿宋" w:cs="仿宋"/>
                <w:sz w:val="24"/>
                <w:highlight w:val="none"/>
              </w:rPr>
            </w:pPr>
            <w:r>
              <w:rPr>
                <w:rFonts w:hint="eastAsia" w:ascii="仿宋" w:hAnsi="仿宋" w:eastAsia="仿宋" w:cs="仿宋"/>
                <w:sz w:val="24"/>
                <w:highlight w:val="none"/>
              </w:rPr>
              <w:t xml:space="preserve">保证金形式：□支票  □汇票  </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position w:val="-4"/>
                <w:sz w:val="36"/>
                <w:highlight w:val="none"/>
              </w:rPr>
              <w:instrText xml:space="preserve">□</w:instrText>
            </w:r>
            <w:r>
              <w:rPr>
                <w:rFonts w:hint="eastAsia" w:ascii="仿宋" w:hAnsi="仿宋" w:eastAsia="仿宋" w:cs="仿宋"/>
                <w:sz w:val="24"/>
                <w:highlight w:val="none"/>
              </w:rPr>
              <w:instrText xml:space="preserve">,√)</w:instrText>
            </w:r>
            <w:r>
              <w:rPr>
                <w:rFonts w:hint="eastAsia" w:ascii="仿宋" w:hAnsi="仿宋" w:eastAsia="仿宋" w:cs="仿宋"/>
                <w:sz w:val="24"/>
                <w:highlight w:val="none"/>
              </w:rPr>
              <w:fldChar w:fldCharType="end"/>
            </w:r>
            <w:r>
              <w:rPr>
                <w:rFonts w:hint="eastAsia" w:ascii="仿宋" w:hAnsi="仿宋" w:eastAsia="仿宋" w:cs="仿宋"/>
                <w:sz w:val="24"/>
                <w:highlight w:val="none"/>
              </w:rPr>
              <w:t xml:space="preserve">保函正本  </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position w:val="-4"/>
                <w:sz w:val="36"/>
                <w:highlight w:val="none"/>
              </w:rPr>
              <w:instrText xml:space="preserve">□</w:instrText>
            </w:r>
            <w:r>
              <w:rPr>
                <w:rFonts w:hint="eastAsia" w:ascii="仿宋" w:hAnsi="仿宋" w:eastAsia="仿宋" w:cs="仿宋"/>
                <w:sz w:val="24"/>
                <w:highlight w:val="none"/>
              </w:rPr>
              <w:instrText xml:space="preserve">,√)</w:instrText>
            </w:r>
            <w:r>
              <w:rPr>
                <w:rFonts w:hint="eastAsia" w:ascii="仿宋" w:hAnsi="仿宋" w:eastAsia="仿宋" w:cs="仿宋"/>
                <w:sz w:val="24"/>
                <w:highlight w:val="none"/>
              </w:rPr>
              <w:fldChar w:fldCharType="end"/>
            </w:r>
            <w:r>
              <w:rPr>
                <w:rFonts w:hint="eastAsia" w:ascii="仿宋" w:hAnsi="仿宋" w:eastAsia="仿宋" w:cs="仿宋"/>
                <w:sz w:val="24"/>
                <w:highlight w:val="none"/>
              </w:rPr>
              <w:t xml:space="preserve">电汇  </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position w:val="-4"/>
                <w:sz w:val="36"/>
                <w:highlight w:val="none"/>
              </w:rPr>
              <w:instrText xml:space="preserve">□</w:instrText>
            </w:r>
            <w:r>
              <w:rPr>
                <w:rFonts w:hint="eastAsia" w:ascii="仿宋" w:hAnsi="仿宋" w:eastAsia="仿宋" w:cs="仿宋"/>
                <w:sz w:val="24"/>
                <w:highlight w:val="none"/>
              </w:rPr>
              <w:instrText xml:space="preserve">,√)</w:instrText>
            </w:r>
            <w:r>
              <w:rPr>
                <w:rFonts w:hint="eastAsia" w:ascii="仿宋" w:hAnsi="仿宋" w:eastAsia="仿宋" w:cs="仿宋"/>
                <w:sz w:val="24"/>
                <w:highlight w:val="none"/>
              </w:rPr>
              <w:fldChar w:fldCharType="end"/>
            </w:r>
            <w:r>
              <w:rPr>
                <w:rFonts w:hint="eastAsia" w:ascii="仿宋" w:hAnsi="仿宋" w:eastAsia="仿宋" w:cs="仿宋"/>
                <w:sz w:val="24"/>
                <w:highlight w:val="none"/>
              </w:rPr>
              <w:t>转账</w:t>
            </w:r>
          </w:p>
          <w:p>
            <w:pPr>
              <w:rPr>
                <w:rFonts w:ascii="仿宋" w:hAnsi="仿宋" w:eastAsia="仿宋" w:cs="仿宋"/>
                <w:sz w:val="24"/>
                <w:highlight w:val="none"/>
              </w:rPr>
            </w:pPr>
            <w:r>
              <w:rPr>
                <w:rFonts w:hint="eastAsia" w:ascii="仿宋" w:hAnsi="仿宋" w:eastAsia="仿宋" w:cs="仿宋"/>
                <w:sz w:val="24"/>
                <w:highlight w:val="none"/>
              </w:rPr>
              <w:t>保证金数额：</w:t>
            </w:r>
            <w:r>
              <w:rPr>
                <w:rFonts w:hint="eastAsia" w:ascii="仿宋" w:hAnsi="仿宋" w:eastAsia="仿宋" w:cs="仿宋"/>
                <w:sz w:val="24"/>
                <w:highlight w:val="none"/>
                <w:lang w:val="en-US" w:eastAsia="zh-CN"/>
              </w:rPr>
              <w:t>1.5</w:t>
            </w:r>
            <w:r>
              <w:rPr>
                <w:rFonts w:hint="eastAsia" w:ascii="仿宋" w:hAnsi="仿宋" w:eastAsia="仿宋" w:cs="仿宋"/>
                <w:sz w:val="24"/>
                <w:highlight w:val="none"/>
              </w:rPr>
              <w:t xml:space="preserve">万元 </w:t>
            </w:r>
          </w:p>
          <w:p>
            <w:pPr>
              <w:rPr>
                <w:rFonts w:ascii="仿宋" w:hAnsi="仿宋" w:eastAsia="仿宋" w:cs="仿宋"/>
                <w:sz w:val="24"/>
                <w:highlight w:val="none"/>
              </w:rPr>
            </w:pPr>
            <w:r>
              <w:rPr>
                <w:rFonts w:hint="eastAsia" w:ascii="仿宋" w:hAnsi="仿宋" w:eastAsia="仿宋" w:cs="仿宋"/>
                <w:sz w:val="24"/>
                <w:highlight w:val="none"/>
              </w:rPr>
              <w:t>保证金收款人：长春市科胜招标投标代理有限公司</w:t>
            </w:r>
          </w:p>
          <w:p>
            <w:pPr>
              <w:rPr>
                <w:rFonts w:ascii="仿宋" w:hAnsi="仿宋" w:eastAsia="仿宋" w:cs="仿宋"/>
                <w:sz w:val="24"/>
                <w:highlight w:val="none"/>
              </w:rPr>
            </w:pPr>
            <w:r>
              <w:rPr>
                <w:rFonts w:hint="eastAsia" w:ascii="仿宋" w:hAnsi="仿宋" w:eastAsia="仿宋" w:cs="仿宋"/>
                <w:sz w:val="24"/>
                <w:highlight w:val="none"/>
              </w:rPr>
              <w:t>开户银行：中国民生银行股份有限公司长春一汽支行</w:t>
            </w:r>
          </w:p>
          <w:p>
            <w:pPr>
              <w:rPr>
                <w:rFonts w:ascii="仿宋" w:hAnsi="仿宋" w:eastAsia="仿宋" w:cs="仿宋"/>
                <w:sz w:val="24"/>
                <w:highlight w:val="none"/>
              </w:rPr>
            </w:pPr>
            <w:r>
              <w:rPr>
                <w:rFonts w:hint="eastAsia" w:ascii="仿宋" w:hAnsi="仿宋" w:eastAsia="仿宋" w:cs="仿宋"/>
                <w:sz w:val="24"/>
                <w:highlight w:val="none"/>
              </w:rPr>
              <w:t>账    号：694984013</w:t>
            </w:r>
          </w:p>
          <w:p>
            <w:pPr>
              <w:rPr>
                <w:rFonts w:ascii="仿宋" w:hAnsi="仿宋" w:eastAsia="仿宋" w:cs="仿宋"/>
                <w:sz w:val="24"/>
                <w:highlight w:val="none"/>
              </w:rPr>
            </w:pPr>
            <w:r>
              <w:rPr>
                <w:rFonts w:hint="eastAsia" w:ascii="仿宋" w:hAnsi="仿宋" w:eastAsia="仿宋" w:cs="仿宋"/>
                <w:sz w:val="24"/>
                <w:highlight w:val="none"/>
              </w:rPr>
              <w:t>1、电汇凭证必须注明项目名称及编号。</w:t>
            </w:r>
          </w:p>
          <w:p>
            <w:pPr>
              <w:rPr>
                <w:rFonts w:ascii="仿宋" w:hAnsi="仿宋" w:eastAsia="仿宋" w:cs="仿宋"/>
                <w:sz w:val="24"/>
                <w:highlight w:val="none"/>
              </w:rPr>
            </w:pPr>
            <w:r>
              <w:rPr>
                <w:rFonts w:hint="eastAsia" w:ascii="仿宋" w:hAnsi="仿宋" w:eastAsia="仿宋" w:cs="仿宋"/>
                <w:sz w:val="24"/>
                <w:highlight w:val="none"/>
              </w:rPr>
              <w:t>2、各投标单位汇款后,应经常查询本企业开户银行投标保证金是否存在退汇的情况。</w:t>
            </w:r>
          </w:p>
          <w:p>
            <w:pPr>
              <w:rPr>
                <w:rFonts w:ascii="仿宋" w:hAnsi="仿宋" w:eastAsia="仿宋" w:cs="仿宋"/>
                <w:sz w:val="24"/>
                <w:highlight w:val="none"/>
              </w:rPr>
            </w:pPr>
            <w:r>
              <w:rPr>
                <w:rFonts w:hint="eastAsia" w:ascii="仿宋" w:hAnsi="仿宋" w:eastAsia="仿宋" w:cs="仿宋"/>
                <w:sz w:val="24"/>
                <w:highlight w:val="none"/>
              </w:rPr>
              <w:t>3、投标保证金到账以基本账户收到款项为准。</w:t>
            </w:r>
          </w:p>
          <w:p>
            <w:pPr>
              <w:rPr>
                <w:rFonts w:ascii="仿宋" w:hAnsi="仿宋" w:eastAsia="仿宋" w:cs="仿宋"/>
                <w:sz w:val="24"/>
                <w:highlight w:val="none"/>
              </w:rPr>
            </w:pPr>
            <w:r>
              <w:rPr>
                <w:rFonts w:hint="eastAsia" w:ascii="仿宋" w:hAnsi="仿宋" w:eastAsia="仿宋" w:cs="仿宋"/>
                <w:sz w:val="24"/>
                <w:highlight w:val="none"/>
              </w:rPr>
              <w:t>4、投标单位必须按上述规定递交投标保证金，否则将拒收其投标文件。</w:t>
            </w:r>
          </w:p>
          <w:p>
            <w:pPr>
              <w:rPr>
                <w:rFonts w:ascii="仿宋" w:hAnsi="仿宋" w:eastAsia="仿宋" w:cs="仿宋"/>
                <w:sz w:val="24"/>
                <w:highlight w:val="none"/>
              </w:rPr>
            </w:pPr>
            <w:r>
              <w:rPr>
                <w:rFonts w:hint="eastAsia" w:ascii="仿宋" w:hAnsi="仿宋" w:eastAsia="仿宋" w:cs="仿宋"/>
                <w:sz w:val="24"/>
                <w:highlight w:val="none"/>
              </w:rPr>
              <w:t>5、投标保证金有效期为：自投标截止之日起90日历天。</w:t>
            </w:r>
          </w:p>
          <w:p>
            <w:pPr>
              <w:rPr>
                <w:rFonts w:ascii="仿宋" w:hAnsi="仿宋" w:eastAsia="仿宋" w:cs="仿宋"/>
                <w:color w:val="FF0000"/>
                <w:sz w:val="24"/>
                <w:highlight w:val="none"/>
              </w:rPr>
            </w:pPr>
            <w:r>
              <w:rPr>
                <w:rFonts w:hint="eastAsia" w:ascii="仿宋" w:hAnsi="仿宋" w:eastAsia="仿宋" w:cs="仿宋"/>
                <w:color w:val="FF0000"/>
                <w:sz w:val="24"/>
                <w:highlight w:val="none"/>
              </w:rPr>
              <w:t xml:space="preserve">6. </w:t>
            </w:r>
            <w:r>
              <w:rPr>
                <w:rFonts w:hint="eastAsia" w:ascii="仿宋" w:hAnsi="仿宋" w:eastAsia="仿宋" w:cs="仿宋"/>
                <w:color w:val="FF0000"/>
                <w:sz w:val="24"/>
                <w:highlight w:val="none"/>
                <w:u w:val="single"/>
              </w:rPr>
              <w:t>投标单位递交投标保证金当日把银行付款凭证发到邮箱：keshengzhaobiao21@163.com</w:t>
            </w:r>
          </w:p>
          <w:p>
            <w:pPr>
              <w:rPr>
                <w:rFonts w:ascii="仿宋" w:hAnsi="仿宋" w:eastAsia="仿宋" w:cs="仿宋"/>
                <w:sz w:val="24"/>
                <w:highlight w:val="none"/>
              </w:rPr>
            </w:pPr>
            <w:r>
              <w:rPr>
                <w:rFonts w:hint="eastAsia" w:ascii="仿宋" w:hAnsi="仿宋" w:eastAsia="仿宋" w:cs="仿宋"/>
                <w:sz w:val="24"/>
                <w:highlight w:val="none"/>
              </w:rPr>
              <w:t>*投标单位必须按上述规定递交投标保证金，否则按投标无效处理。</w:t>
            </w:r>
          </w:p>
          <w:p>
            <w:pPr>
              <w:rPr>
                <w:rFonts w:ascii="仿宋" w:hAnsi="仿宋" w:eastAsia="仿宋" w:cs="仿宋"/>
                <w:sz w:val="24"/>
                <w:highlight w:val="none"/>
              </w:rPr>
            </w:pPr>
            <w:r>
              <w:rPr>
                <w:rFonts w:hint="eastAsia" w:ascii="仿宋" w:hAnsi="仿宋" w:eastAsia="仿宋" w:cs="仿宋"/>
                <w:sz w:val="24"/>
                <w:highlight w:val="none"/>
              </w:rPr>
              <w:t>注：保证金如以保函形式递交，须在开标时间前一个工作日将保函正本送至招标代理公司。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rPr>
                <w:rFonts w:ascii="仿宋" w:hAnsi="仿宋" w:eastAsia="仿宋" w:cs="仿宋"/>
                <w:color w:val="000000"/>
                <w:sz w:val="24"/>
                <w:highlight w:val="none"/>
              </w:rPr>
            </w:pPr>
            <w:r>
              <w:rPr>
                <w:rFonts w:hint="eastAsia" w:ascii="仿宋" w:hAnsi="仿宋" w:eastAsia="仿宋" w:cs="仿宋"/>
                <w:color w:val="000000"/>
                <w:sz w:val="24"/>
                <w:highlight w:val="none"/>
              </w:rPr>
              <w:t>投标有效期：投标截止之日后90天</w:t>
            </w:r>
          </w:p>
          <w:p>
            <w:pPr>
              <w:rPr>
                <w:rFonts w:ascii="仿宋" w:hAnsi="仿宋" w:eastAsia="仿宋" w:cs="仿宋"/>
                <w:color w:val="000000"/>
                <w:sz w:val="24"/>
                <w:highlight w:val="none"/>
              </w:rPr>
            </w:pPr>
            <w:r>
              <w:rPr>
                <w:rFonts w:hint="eastAsia" w:ascii="仿宋" w:hAnsi="仿宋" w:eastAsia="仿宋" w:cs="仿宋"/>
                <w:color w:val="000000"/>
                <w:sz w:val="24"/>
                <w:highlight w:val="none"/>
              </w:rPr>
              <w:t>投标有效期不满足要求的投标将被视为非响应性投标而被视为无效投标。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rPr>
                <w:rFonts w:ascii="仿宋" w:hAnsi="仿宋" w:eastAsia="仿宋" w:cs="仿宋"/>
                <w:color w:val="FF0000"/>
                <w:sz w:val="24"/>
                <w:highlight w:val="none"/>
              </w:rPr>
            </w:pPr>
            <w:r>
              <w:rPr>
                <w:rFonts w:hint="eastAsia" w:ascii="仿宋" w:hAnsi="仿宋" w:eastAsia="仿宋" w:cs="仿宋"/>
                <w:color w:val="FF0000"/>
                <w:sz w:val="24"/>
                <w:highlight w:val="none"/>
              </w:rPr>
              <w:t>投标文件：正本：1份、副本：4份、电子文档（U盘）：2份，开标一览表：1份、投标保证金汇款凭证：1份（复印件加盖公章），并分开包装。</w:t>
            </w:r>
          </w:p>
          <w:p>
            <w:pPr>
              <w:rPr>
                <w:rFonts w:ascii="仿宋" w:hAnsi="仿宋" w:eastAsia="仿宋" w:cs="仿宋"/>
                <w:color w:val="FF0000"/>
                <w:sz w:val="24"/>
                <w:highlight w:val="none"/>
              </w:rPr>
            </w:pPr>
            <w:r>
              <w:rPr>
                <w:rFonts w:hint="eastAsia" w:ascii="仿宋" w:hAnsi="仿宋" w:eastAsia="仿宋" w:cs="仿宋"/>
                <w:color w:val="FF0000"/>
                <w:sz w:val="24"/>
                <w:highlight w:val="none"/>
              </w:rPr>
              <w:t>投标人应将投标保证金单独封装在一个信封内与其他投标文件分装；开标一览表也须单独封装在一个信封内与其他投标文件分装,并同时递交采购代理机构。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tcPr>
          <w:p>
            <w:pPr>
              <w:rPr>
                <w:rFonts w:ascii="仿宋" w:hAnsi="仿宋" w:eastAsia="仿宋" w:cs="仿宋"/>
                <w:color w:val="000000"/>
                <w:sz w:val="24"/>
                <w:highlight w:val="none"/>
              </w:rPr>
            </w:pPr>
            <w:r>
              <w:rPr>
                <w:rFonts w:hint="eastAsia" w:ascii="仿宋" w:hAnsi="仿宋" w:eastAsia="仿宋" w:cs="仿宋"/>
                <w:color w:val="000000"/>
                <w:sz w:val="24"/>
                <w:highlight w:val="none"/>
              </w:rPr>
              <w:t>开标时间：</w:t>
            </w:r>
            <w:r>
              <w:rPr>
                <w:rFonts w:hint="eastAsia" w:ascii="仿宋" w:hAnsi="仿宋" w:eastAsia="仿宋" w:cs="仿宋"/>
                <w:sz w:val="24"/>
                <w:highlight w:val="none"/>
              </w:rPr>
              <w:t>2022年</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21</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点</w:t>
            </w:r>
            <w:r>
              <w:rPr>
                <w:rFonts w:hint="eastAsia" w:ascii="仿宋" w:hAnsi="仿宋" w:eastAsia="仿宋" w:cs="仿宋"/>
                <w:sz w:val="24"/>
                <w:highlight w:val="none"/>
                <w:lang w:val="en-US" w:eastAsia="zh-CN"/>
              </w:rPr>
              <w:t>00</w:t>
            </w:r>
            <w:r>
              <w:rPr>
                <w:rFonts w:hint="eastAsia" w:ascii="仿宋" w:hAnsi="仿宋" w:eastAsia="仿宋" w:cs="仿宋"/>
                <w:sz w:val="24"/>
                <w:highlight w:val="none"/>
              </w:rPr>
              <w:t>分</w:t>
            </w:r>
          </w:p>
          <w:p>
            <w:pPr>
              <w:rPr>
                <w:rFonts w:ascii="仿宋" w:hAnsi="仿宋" w:eastAsia="仿宋" w:cs="仿宋"/>
                <w:color w:val="000000"/>
                <w:sz w:val="24"/>
                <w:highlight w:val="none"/>
              </w:rPr>
            </w:pPr>
            <w:r>
              <w:rPr>
                <w:rFonts w:hint="eastAsia" w:ascii="仿宋" w:hAnsi="仿宋" w:eastAsia="仿宋" w:cs="仿宋"/>
                <w:color w:val="000000"/>
                <w:sz w:val="24"/>
                <w:highlight w:val="none"/>
              </w:rPr>
              <w:t>开标地点：吉林省人民政府政务大厅4楼开标室（长春市人民大街9999号人民大街与蔚山路交汇处）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vAlign w:val="center"/>
          </w:tcPr>
          <w:p>
            <w:pPr>
              <w:rPr>
                <w:rFonts w:ascii="仿宋" w:hAnsi="仿宋" w:eastAsia="仿宋" w:cs="仿宋"/>
                <w:color w:val="000000"/>
                <w:sz w:val="24"/>
                <w:highlight w:val="none"/>
              </w:rPr>
            </w:pPr>
            <w:r>
              <w:rPr>
                <w:rFonts w:hint="eastAsia" w:ascii="仿宋" w:hAnsi="仿宋" w:eastAsia="仿宋" w:cs="仿宋"/>
                <w:color w:val="000000"/>
                <w:sz w:val="24"/>
                <w:highlight w:val="none"/>
              </w:rPr>
              <w:t>*服务地点：吉林省残疾人中等职业学校（吉林省残疾人职业技术培训中心、吉林省盲人按摩指导中心）。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vAlign w:val="center"/>
          </w:tcPr>
          <w:p>
            <w:pP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*合同履行期限：</w:t>
            </w:r>
            <w:r>
              <w:rPr>
                <w:rFonts w:hint="eastAsia" w:ascii="仿宋" w:hAnsi="仿宋" w:eastAsia="仿宋" w:cs="仿宋"/>
                <w:color w:val="000000"/>
                <w:sz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vAlign w:val="center"/>
          </w:tcPr>
          <w:p>
            <w:pPr>
              <w:rPr>
                <w:rFonts w:ascii="仿宋" w:hAnsi="仿宋" w:eastAsia="仿宋" w:cs="仿宋"/>
                <w:color w:val="000000"/>
                <w:sz w:val="24"/>
                <w:highlight w:val="none"/>
              </w:rPr>
            </w:pPr>
            <w:r>
              <w:rPr>
                <w:rFonts w:hint="eastAsia" w:ascii="仿宋" w:hAnsi="仿宋" w:eastAsia="仿宋" w:cs="仿宋"/>
                <w:color w:val="000000"/>
                <w:sz w:val="24"/>
                <w:highlight w:val="none"/>
                <w:lang w:val="zh-CN"/>
              </w:rPr>
              <w:t>*付款方式：按照费用总额的50%、30%、10%、10%的比例四次支付。最后一笔款，验收合格后5个工作日内，如有合同资金变更，将办理合同变更手续后，需方向财政申请转账</w:t>
            </w:r>
            <w:r>
              <w:rPr>
                <w:rFonts w:hint="eastAsia" w:ascii="仿宋" w:hAnsi="仿宋" w:eastAsia="仿宋" w:cs="仿宋"/>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履约保证金：</w:t>
            </w:r>
            <w:r>
              <w:rPr>
                <w:rFonts w:hint="eastAsia" w:ascii="仿宋" w:hAnsi="仿宋" w:eastAsia="仿宋" w:cs="仿宋"/>
                <w:color w:val="000000"/>
                <w:sz w:val="24"/>
                <w:highlight w:val="none"/>
                <w:lang w:val="en-US" w:eastAsia="zh-CN"/>
              </w:rPr>
              <w:t>无</w:t>
            </w:r>
            <w:r>
              <w:rPr>
                <w:rFonts w:hint="eastAsia" w:ascii="仿宋" w:hAnsi="仿宋" w:eastAsia="仿宋" w:cs="仿宋"/>
                <w:color w:val="000000"/>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46" w:type="dxa"/>
            <w:vAlign w:val="center"/>
          </w:tcPr>
          <w:p>
            <w:pPr>
              <w:numPr>
                <w:ilvl w:val="0"/>
                <w:numId w:val="1"/>
              </w:numPr>
              <w:tabs>
                <w:tab w:val="clear" w:pos="420"/>
              </w:tabs>
              <w:ind w:left="0" w:firstLine="0"/>
              <w:jc w:val="center"/>
              <w:rPr>
                <w:rFonts w:ascii="仿宋" w:hAnsi="仿宋" w:eastAsia="仿宋" w:cs="仿宋"/>
                <w:color w:val="000000"/>
                <w:sz w:val="24"/>
                <w:highlight w:val="none"/>
                <w:lang w:val="zh-CN"/>
              </w:rPr>
            </w:pPr>
          </w:p>
        </w:tc>
        <w:tc>
          <w:tcPr>
            <w:tcW w:w="7882" w:type="dxa"/>
            <w:vAlign w:val="center"/>
          </w:tcPr>
          <w:p>
            <w:pPr>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rPr>
              <w:t>验收时间：服务完成后5个工作日内。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tcPr>
          <w:p>
            <w:pPr>
              <w:rPr>
                <w:rFonts w:ascii="仿宋" w:hAnsi="仿宋" w:eastAsia="仿宋" w:cs="仿宋"/>
                <w:color w:val="000000"/>
                <w:sz w:val="24"/>
                <w:highlight w:val="none"/>
              </w:rPr>
            </w:pPr>
            <w:r>
              <w:rPr>
                <w:rFonts w:hint="eastAsia" w:ascii="仿宋" w:hAnsi="仿宋" w:eastAsia="仿宋" w:cs="仿宋"/>
                <w:color w:val="000000"/>
                <w:sz w:val="24"/>
                <w:highlight w:val="none"/>
              </w:rPr>
              <w:t>中标服务费：</w:t>
            </w:r>
            <w:r>
              <w:rPr>
                <w:rFonts w:hint="eastAsia" w:ascii="仿宋" w:hAnsi="仿宋" w:eastAsia="仿宋" w:cs="仿宋"/>
                <w:sz w:val="24"/>
                <w:highlight w:val="none"/>
                <w:lang w:val="zh-CN"/>
              </w:rPr>
              <w:t>按照国家发展改革委《关于进一步放开建设项目专业服务价格的通知》发改价格〔2015〕299号规定收取招标代理服务费。招标代理费由</w:t>
            </w:r>
            <w:r>
              <w:rPr>
                <w:rFonts w:hint="eastAsia" w:ascii="仿宋" w:hAnsi="仿宋" w:eastAsia="仿宋" w:cs="仿宋"/>
                <w:sz w:val="24"/>
                <w:highlight w:val="none"/>
              </w:rPr>
              <w:t>中标单位支付</w:t>
            </w:r>
            <w:r>
              <w:rPr>
                <w:rFonts w:hint="eastAsia" w:ascii="仿宋" w:hAnsi="仿宋" w:eastAsia="仿宋" w:cs="仿宋"/>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lang w:val="zh-CN"/>
              </w:rPr>
              <w:t>密封情况检查：由投标人代表与采购人代表共同检查文件密封情况。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lang w:val="zh-CN"/>
              </w:rPr>
              <w:t>开标顺序：按电脑录入顺序进行。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评标委员会构成：由</w:t>
            </w:r>
            <w:r>
              <w:rPr>
                <w:rFonts w:hint="eastAsia" w:ascii="仿宋" w:hAnsi="仿宋" w:eastAsia="仿宋" w:cs="仿宋"/>
                <w:color w:val="000000"/>
                <w:sz w:val="24"/>
                <w:highlight w:val="none"/>
              </w:rPr>
              <w:t>5位</w:t>
            </w:r>
            <w:r>
              <w:rPr>
                <w:rFonts w:hint="eastAsia" w:ascii="仿宋" w:hAnsi="仿宋" w:eastAsia="仿宋" w:cs="仿宋"/>
                <w:color w:val="000000"/>
                <w:sz w:val="24"/>
                <w:highlight w:val="none"/>
                <w:lang w:val="zh-CN"/>
              </w:rPr>
              <w:t>成员组成，其中采购人代表1人，专家</w:t>
            </w:r>
            <w:r>
              <w:rPr>
                <w:rFonts w:hint="eastAsia" w:ascii="仿宋" w:hAnsi="仿宋" w:eastAsia="仿宋" w:cs="仿宋"/>
                <w:color w:val="000000"/>
                <w:sz w:val="24"/>
                <w:highlight w:val="none"/>
              </w:rPr>
              <w:t>4</w:t>
            </w:r>
            <w:r>
              <w:rPr>
                <w:rFonts w:hint="eastAsia" w:ascii="仿宋" w:hAnsi="仿宋" w:eastAsia="仿宋" w:cs="仿宋"/>
                <w:color w:val="000000"/>
                <w:sz w:val="24"/>
                <w:highlight w:val="none"/>
                <w:lang w:val="zh-CN"/>
              </w:rPr>
              <w:t>人。</w:t>
            </w:r>
          </w:p>
          <w:p>
            <w:pPr>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lang w:val="zh-CN"/>
              </w:rPr>
              <w:t>评标专家确定方式：评标专家从吉林省公共资源交易中心专家库中随机抽取。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rPr>
              <w:t>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对于同时属于小微企业、监狱企业或残疾人福利性单位的，不重复进行投标报价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numPr>
                <w:ilvl w:val="0"/>
                <w:numId w:val="1"/>
              </w:numPr>
              <w:tabs>
                <w:tab w:val="clear" w:pos="420"/>
              </w:tabs>
              <w:jc w:val="center"/>
              <w:rPr>
                <w:rFonts w:ascii="仿宋" w:hAnsi="仿宋" w:eastAsia="仿宋" w:cs="仿宋"/>
                <w:color w:val="000000"/>
                <w:sz w:val="24"/>
                <w:highlight w:val="none"/>
              </w:rPr>
            </w:pPr>
          </w:p>
        </w:tc>
        <w:tc>
          <w:tcPr>
            <w:tcW w:w="7882" w:type="dxa"/>
            <w:vAlign w:val="center"/>
          </w:tcPr>
          <w:p>
            <w:pPr>
              <w:spacing w:line="240" w:lineRule="atLeast"/>
              <w:rPr>
                <w:rFonts w:ascii="仿宋" w:hAnsi="仿宋" w:eastAsia="仿宋" w:cs="仿宋"/>
                <w:color w:val="000000"/>
                <w:sz w:val="24"/>
                <w:highlight w:val="none"/>
              </w:rPr>
            </w:pPr>
            <w:r>
              <w:rPr>
                <w:rFonts w:hint="eastAsia" w:ascii="仿宋" w:hAnsi="仿宋" w:eastAsia="仿宋" w:cs="仿宋"/>
                <w:sz w:val="24"/>
                <w:highlight w:val="none"/>
                <w:lang w:val="zh-CN"/>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8" w:type="dxa"/>
            <w:gridSpan w:val="2"/>
            <w:vAlign w:val="center"/>
          </w:tcPr>
          <w:p>
            <w:pPr>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适用于本投标人须知的额外增加的变动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646" w:type="dxa"/>
            <w:vAlign w:val="center"/>
          </w:tcPr>
          <w:p>
            <w:pPr>
              <w:jc w:val="center"/>
              <w:rPr>
                <w:rFonts w:ascii="仿宋" w:hAnsi="仿宋" w:eastAsia="仿宋" w:cs="仿宋"/>
                <w:color w:val="000000"/>
                <w:sz w:val="24"/>
                <w:highlight w:val="none"/>
              </w:rPr>
            </w:pPr>
            <w:r>
              <w:rPr>
                <w:rFonts w:hint="eastAsia" w:ascii="仿宋" w:hAnsi="仿宋" w:eastAsia="仿宋" w:cs="仿宋"/>
                <w:color w:val="000000"/>
                <w:sz w:val="24"/>
                <w:highlight w:val="none"/>
              </w:rPr>
              <w:t>1</w:t>
            </w:r>
          </w:p>
        </w:tc>
        <w:tc>
          <w:tcPr>
            <w:tcW w:w="7882" w:type="dxa"/>
            <w:vAlign w:val="center"/>
          </w:tcPr>
          <w:p>
            <w:pPr>
              <w:rPr>
                <w:rFonts w:ascii="仿宋" w:hAnsi="仿宋" w:eastAsia="仿宋" w:cs="仿宋"/>
                <w:b/>
                <w:bCs/>
                <w:sz w:val="24"/>
                <w:highlight w:val="none"/>
              </w:rPr>
            </w:pPr>
            <w:r>
              <w:rPr>
                <w:rFonts w:hint="eastAsia" w:ascii="仿宋" w:hAnsi="仿宋" w:eastAsia="仿宋" w:cs="仿宋"/>
                <w:b/>
                <w:bCs/>
                <w:sz w:val="24"/>
                <w:highlight w:val="none"/>
              </w:rPr>
              <w:t>下列情况的投标将被视为无效投标：</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投标文件逾期送达的或者未送达指定地点的；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未交或未足额交纳投标保证金的；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未按照招标文件规定要求签署、盖章的；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投标有效期不足的；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未按招标文件格式要求提供（详见投标人须知）；</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投标报价超出财政预算资金的；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提供虚假文件的；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故意隐瞒不良业绩的；</w:t>
            </w:r>
          </w:p>
          <w:p>
            <w:pPr>
              <w:numPr>
                <w:ilvl w:val="0"/>
                <w:numId w:val="2"/>
              </w:numPr>
              <w:rPr>
                <w:rFonts w:ascii="仿宋" w:hAnsi="仿宋" w:eastAsia="仿宋" w:cs="仿宋"/>
                <w:sz w:val="24"/>
                <w:highlight w:val="none"/>
              </w:rPr>
            </w:pPr>
            <w:r>
              <w:rPr>
                <w:rFonts w:hint="eastAsia" w:ascii="仿宋" w:hAnsi="仿宋" w:eastAsia="仿宋" w:cs="仿宋"/>
                <w:sz w:val="24"/>
                <w:highlight w:val="none"/>
              </w:rPr>
              <w:t>不符合法律、法规和招标文件中规定的其他实质性要求的。</w:t>
            </w:r>
          </w:p>
        </w:tc>
      </w:tr>
    </w:tbl>
    <w:p>
      <w:pPr>
        <w:pStyle w:val="4"/>
        <w:keepNext w:val="0"/>
        <w:pageBreakBefore/>
        <w:adjustRightInd/>
        <w:spacing w:before="0" w:line="360" w:lineRule="auto"/>
        <w:rPr>
          <w:rFonts w:ascii="仿宋" w:hAnsi="仿宋" w:eastAsia="仿宋" w:cs="仿宋"/>
          <w:bCs/>
          <w:color w:val="000000"/>
          <w:sz w:val="24"/>
          <w:szCs w:val="24"/>
          <w:highlight w:val="none"/>
        </w:rPr>
      </w:pPr>
      <w:bookmarkStart w:id="51" w:name="_Toc320508773"/>
      <w:bookmarkStart w:id="52" w:name="_Toc365831935"/>
      <w:bookmarkStart w:id="53" w:name="_Toc6018"/>
      <w:r>
        <w:rPr>
          <w:rFonts w:hint="eastAsia" w:ascii="仿宋" w:hAnsi="仿宋" w:eastAsia="仿宋" w:cs="仿宋"/>
          <w:bCs/>
          <w:color w:val="000000"/>
          <w:sz w:val="24"/>
          <w:szCs w:val="24"/>
          <w:highlight w:val="none"/>
        </w:rPr>
        <w:t>投标人须知</w:t>
      </w:r>
      <w:bookmarkEnd w:id="51"/>
      <w:bookmarkEnd w:id="52"/>
      <w:bookmarkEnd w:id="53"/>
    </w:p>
    <w:p>
      <w:pPr>
        <w:spacing w:line="400" w:lineRule="exact"/>
        <w:ind w:firstLine="480" w:firstLineChars="200"/>
        <w:rPr>
          <w:rFonts w:ascii="仿宋" w:hAnsi="仿宋" w:eastAsia="仿宋" w:cs="仿宋"/>
          <w:color w:val="000000"/>
          <w:sz w:val="24"/>
          <w:highlight w:val="none"/>
        </w:rPr>
      </w:pPr>
      <w:bookmarkStart w:id="54" w:name="_Toc3672"/>
      <w:bookmarkStart w:id="55" w:name="_Toc365831936"/>
      <w:bookmarkStart w:id="56" w:name="_Toc320508774"/>
      <w:r>
        <w:rPr>
          <w:rFonts w:hint="eastAsia" w:ascii="仿宋" w:hAnsi="仿宋" w:eastAsia="仿宋" w:cs="仿宋"/>
          <w:color w:val="000000"/>
          <w:sz w:val="24"/>
          <w:highlight w:val="none"/>
        </w:rPr>
        <w:t>一、总 则</w:t>
      </w:r>
      <w:bookmarkEnd w:id="54"/>
      <w:bookmarkEnd w:id="55"/>
      <w:bookmarkEnd w:id="56"/>
    </w:p>
    <w:p>
      <w:pPr>
        <w:spacing w:line="400" w:lineRule="exact"/>
        <w:ind w:firstLine="480" w:firstLineChars="200"/>
        <w:rPr>
          <w:rFonts w:ascii="仿宋" w:hAnsi="仿宋" w:eastAsia="仿宋" w:cs="仿宋"/>
          <w:color w:val="000000"/>
          <w:sz w:val="24"/>
          <w:highlight w:val="none"/>
        </w:rPr>
      </w:pPr>
      <w:bookmarkStart w:id="57" w:name="_Toc320508775"/>
      <w:bookmarkStart w:id="58" w:name="_Toc4501"/>
      <w:bookmarkStart w:id="59" w:name="_Toc365831937"/>
      <w:r>
        <w:rPr>
          <w:rFonts w:hint="eastAsia" w:ascii="仿宋" w:hAnsi="仿宋" w:eastAsia="仿宋" w:cs="仿宋"/>
          <w:color w:val="000000"/>
          <w:sz w:val="24"/>
          <w:highlight w:val="none"/>
        </w:rPr>
        <w:t>1、使用范围</w:t>
      </w:r>
      <w:bookmarkEnd w:id="57"/>
      <w:bookmarkEnd w:id="58"/>
      <w:bookmarkEnd w:id="59"/>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1.1投标文件仅适用于</w:t>
      </w:r>
      <w:bookmarkStart w:id="60" w:name="OLE_LINK1"/>
      <w:r>
        <w:rPr>
          <w:rFonts w:hint="eastAsia" w:ascii="仿宋" w:hAnsi="仿宋" w:eastAsia="仿宋" w:cs="仿宋"/>
          <w:color w:val="000000"/>
          <w:sz w:val="24"/>
          <w:highlight w:val="none"/>
        </w:rPr>
        <w:t>投标</w:t>
      </w:r>
      <w:bookmarkEnd w:id="60"/>
      <w:r>
        <w:rPr>
          <w:rFonts w:hint="eastAsia" w:ascii="仿宋" w:hAnsi="仿宋" w:eastAsia="仿宋" w:cs="仿宋"/>
          <w:color w:val="000000"/>
          <w:sz w:val="24"/>
          <w:highlight w:val="none"/>
        </w:rPr>
        <w:t>邀请中所叙述项目的服务购买。</w:t>
      </w:r>
    </w:p>
    <w:p>
      <w:pPr>
        <w:spacing w:line="400" w:lineRule="exact"/>
        <w:ind w:firstLine="480" w:firstLineChars="200"/>
        <w:rPr>
          <w:rFonts w:ascii="仿宋" w:hAnsi="仿宋" w:eastAsia="仿宋" w:cs="仿宋"/>
          <w:color w:val="000000"/>
          <w:sz w:val="24"/>
          <w:highlight w:val="none"/>
        </w:rPr>
      </w:pPr>
      <w:bookmarkStart w:id="61" w:name="_Toc320508776"/>
      <w:bookmarkStart w:id="62" w:name="_Toc2576"/>
      <w:bookmarkStart w:id="63" w:name="_Toc365831938"/>
      <w:r>
        <w:rPr>
          <w:rFonts w:hint="eastAsia" w:ascii="仿宋" w:hAnsi="仿宋" w:eastAsia="仿宋" w:cs="仿宋"/>
          <w:color w:val="000000"/>
          <w:sz w:val="24"/>
          <w:highlight w:val="none"/>
        </w:rPr>
        <w:t>2、定义</w:t>
      </w:r>
      <w:bookmarkEnd w:id="61"/>
      <w:bookmarkEnd w:id="62"/>
      <w:bookmarkEnd w:id="63"/>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2.1“采购人”是指</w:t>
      </w:r>
      <w:r>
        <w:rPr>
          <w:rFonts w:hint="eastAsia" w:ascii="仿宋" w:hAnsi="仿宋" w:eastAsia="仿宋" w:cs="仿宋"/>
          <w:color w:val="000000"/>
          <w:sz w:val="24"/>
          <w:highlight w:val="none"/>
          <w:lang w:val="zh-CN"/>
        </w:rPr>
        <w:t>吉林省残疾人中等职业学校</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“采购代理机构”是指长春市科胜招标投标代理有限公司</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2.2“投标人”是指响应采购人要求，向采购人或采购代理机构递交投标文件的服务商或投标人。</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2.3 “服务”是指招标文件规定投标人须承担的服务。</w:t>
      </w:r>
    </w:p>
    <w:p>
      <w:pPr>
        <w:spacing w:line="400" w:lineRule="exact"/>
        <w:ind w:firstLine="480" w:firstLineChars="200"/>
        <w:rPr>
          <w:rFonts w:ascii="仿宋" w:hAnsi="仿宋" w:eastAsia="仿宋" w:cs="仿宋"/>
          <w:color w:val="000000"/>
          <w:sz w:val="24"/>
          <w:highlight w:val="none"/>
        </w:rPr>
      </w:pPr>
      <w:bookmarkStart w:id="64" w:name="_Toc320508777"/>
      <w:bookmarkStart w:id="65" w:name="_Toc11707"/>
      <w:bookmarkStart w:id="66" w:name="_Toc365831939"/>
      <w:r>
        <w:rPr>
          <w:rFonts w:hint="eastAsia" w:ascii="仿宋" w:hAnsi="仿宋" w:eastAsia="仿宋" w:cs="仿宋"/>
          <w:color w:val="000000"/>
          <w:sz w:val="24"/>
          <w:highlight w:val="none"/>
        </w:rPr>
        <w:t>3、合格的投标人</w:t>
      </w:r>
      <w:bookmarkEnd w:id="64"/>
      <w:bookmarkEnd w:id="65"/>
      <w:bookmarkEnd w:id="66"/>
    </w:p>
    <w:p>
      <w:pPr>
        <w:spacing w:line="400" w:lineRule="exact"/>
        <w:ind w:firstLine="480" w:firstLineChars="200"/>
        <w:rPr>
          <w:rFonts w:ascii="仿宋" w:hAnsi="仿宋" w:eastAsia="仿宋" w:cs="仿宋"/>
          <w:color w:val="000000"/>
          <w:sz w:val="24"/>
          <w:highlight w:val="none"/>
        </w:rPr>
      </w:pPr>
      <w:bookmarkStart w:id="67" w:name="_Toc320508778"/>
      <w:r>
        <w:rPr>
          <w:rFonts w:hint="eastAsia" w:ascii="仿宋" w:hAnsi="仿宋" w:eastAsia="仿宋" w:cs="仿宋"/>
          <w:color w:val="000000"/>
          <w:sz w:val="24"/>
          <w:highlight w:val="none"/>
        </w:rPr>
        <w:t>3.1在中华人民共和国境内注册，能够独立承担民事责任，</w:t>
      </w:r>
      <w:r>
        <w:rPr>
          <w:rFonts w:hint="eastAsia" w:ascii="仿宋" w:hAnsi="仿宋" w:eastAsia="仿宋" w:cs="仿宋"/>
          <w:bCs/>
          <w:color w:val="000000"/>
          <w:sz w:val="24"/>
          <w:highlight w:val="none"/>
        </w:rPr>
        <w:t>能够提供招标文件中要求的服务内容，并具有相应能力的单位</w:t>
      </w:r>
      <w:r>
        <w:rPr>
          <w:rFonts w:hint="eastAsia" w:ascii="仿宋" w:hAnsi="仿宋" w:eastAsia="仿宋" w:cs="仿宋"/>
          <w:color w:val="000000"/>
          <w:sz w:val="24"/>
          <w:highlight w:val="none"/>
        </w:rPr>
        <w:t>。</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w:t>
      </w:r>
      <w:r>
        <w:rPr>
          <w:rFonts w:hint="eastAsia" w:ascii="仿宋" w:hAnsi="仿宋" w:eastAsia="仿宋" w:cs="仿宋"/>
          <w:bCs/>
          <w:color w:val="000000"/>
          <w:sz w:val="24"/>
          <w:highlight w:val="none"/>
        </w:rPr>
        <w:t>投标人应遵循有关的中国法律和法规的规定。</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3.3取得工商行政管理部门颁发的有效期内的营业执照。</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3.4投标人须按《投标人须知前附表》中的要求，提供相关的资格证明文件。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3.5投标人必须向采购代理机构购买招标文件并登记备案，未向采购代理机构购买招标文件并登记备案的潜在投标人均无资格参加本次投标。</w:t>
      </w:r>
    </w:p>
    <w:p>
      <w:pPr>
        <w:spacing w:line="400" w:lineRule="exact"/>
        <w:ind w:firstLine="480" w:firstLineChars="200"/>
        <w:rPr>
          <w:rFonts w:ascii="仿宋" w:hAnsi="仿宋" w:eastAsia="仿宋" w:cs="仿宋"/>
          <w:bCs/>
          <w:color w:val="000000"/>
          <w:sz w:val="24"/>
          <w:highlight w:val="none"/>
        </w:rPr>
      </w:pPr>
      <w:r>
        <w:rPr>
          <w:rFonts w:hint="eastAsia" w:ascii="仿宋" w:hAnsi="仿宋" w:eastAsia="仿宋" w:cs="仿宋"/>
          <w:bCs/>
          <w:color w:val="000000"/>
          <w:sz w:val="24"/>
          <w:highlight w:val="none"/>
        </w:rPr>
        <w:t>3.6下列单位</w:t>
      </w:r>
      <w:r>
        <w:rPr>
          <w:rFonts w:hint="eastAsia" w:ascii="仿宋" w:hAnsi="仿宋" w:eastAsia="仿宋" w:cs="仿宋"/>
          <w:color w:val="000000"/>
          <w:sz w:val="24"/>
          <w:highlight w:val="none"/>
        </w:rPr>
        <w:t>不得参加投标：</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凡受托为本次招标的服务进行编制规范和其他文件的咨询公司，及相关联的附属机构。</w:t>
      </w:r>
    </w:p>
    <w:p>
      <w:pPr>
        <w:pStyle w:val="16"/>
        <w:spacing w:after="0" w:line="400" w:lineRule="exact"/>
        <w:ind w:firstLine="480" w:firstLineChars="200"/>
        <w:rPr>
          <w:rFonts w:ascii="仿宋" w:hAnsi="仿宋" w:eastAsia="仿宋" w:cs="仿宋"/>
          <w:bCs/>
          <w:color w:val="000000"/>
          <w:sz w:val="24"/>
          <w:highlight w:val="none"/>
        </w:rPr>
      </w:pPr>
      <w:r>
        <w:rPr>
          <w:rFonts w:hint="eastAsia" w:ascii="仿宋" w:hAnsi="仿宋" w:eastAsia="仿宋" w:cs="仿宋"/>
          <w:bCs/>
          <w:color w:val="000000"/>
          <w:sz w:val="24"/>
          <w:highlight w:val="none"/>
        </w:rPr>
        <w:t>3.7建议</w:t>
      </w:r>
      <w:r>
        <w:rPr>
          <w:rFonts w:hint="eastAsia" w:ascii="仿宋" w:hAnsi="仿宋" w:eastAsia="仿宋" w:cs="仿宋"/>
          <w:color w:val="000000"/>
          <w:sz w:val="24"/>
          <w:highlight w:val="none"/>
        </w:rPr>
        <w:t>具有合格资质的投标人以独立的服务商主体参加投标。</w:t>
      </w:r>
    </w:p>
    <w:p>
      <w:pPr>
        <w:spacing w:line="400" w:lineRule="exact"/>
        <w:ind w:firstLine="480" w:firstLineChars="200"/>
        <w:rPr>
          <w:rFonts w:ascii="仿宋" w:hAnsi="仿宋" w:eastAsia="仿宋" w:cs="仿宋"/>
          <w:color w:val="000000"/>
          <w:sz w:val="24"/>
          <w:highlight w:val="none"/>
        </w:rPr>
      </w:pPr>
      <w:bookmarkStart w:id="68" w:name="_Toc365831940"/>
      <w:bookmarkStart w:id="69" w:name="_Toc8277"/>
      <w:r>
        <w:rPr>
          <w:rFonts w:hint="eastAsia" w:ascii="仿宋" w:hAnsi="仿宋" w:eastAsia="仿宋" w:cs="仿宋"/>
          <w:color w:val="000000"/>
          <w:sz w:val="24"/>
          <w:highlight w:val="none"/>
        </w:rPr>
        <w:t>4、费用</w:t>
      </w:r>
      <w:bookmarkEnd w:id="67"/>
      <w:bookmarkEnd w:id="68"/>
      <w:bookmarkEnd w:id="69"/>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4.1投标人应承担所有与编写和提交投标文件有关的费用，无论招标过程中的做法和结果如何，采购人在任何情况下均无义务和责任承担这些费用。</w:t>
      </w:r>
    </w:p>
    <w:p>
      <w:pPr>
        <w:spacing w:line="400" w:lineRule="exact"/>
        <w:ind w:firstLine="480" w:firstLineChars="200"/>
        <w:rPr>
          <w:rFonts w:ascii="仿宋" w:hAnsi="仿宋" w:eastAsia="仿宋" w:cs="仿宋"/>
          <w:color w:val="000000"/>
          <w:sz w:val="24"/>
          <w:highlight w:val="none"/>
        </w:rPr>
      </w:pPr>
      <w:bookmarkStart w:id="70" w:name="_Toc365831941"/>
      <w:bookmarkStart w:id="71" w:name="_Toc320508779"/>
      <w:bookmarkStart w:id="72" w:name="_Toc24806"/>
      <w:r>
        <w:rPr>
          <w:rFonts w:hint="eastAsia" w:ascii="仿宋" w:hAnsi="仿宋" w:eastAsia="仿宋" w:cs="仿宋"/>
          <w:color w:val="000000"/>
          <w:sz w:val="24"/>
          <w:highlight w:val="none"/>
        </w:rPr>
        <w:t>二、发布招标公告</w:t>
      </w:r>
      <w:bookmarkEnd w:id="70"/>
      <w:bookmarkEnd w:id="71"/>
      <w:bookmarkEnd w:id="72"/>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本项目采用公开招标，采购代理机构将在相关信息网络或媒体发布招标公告，在招标公告中载明采购人及采购代理机构的名称和地址、招标项目的性质、数量、实施地点和时间以及获取招标文件的办法等事项，自招标公告开始发出之日起至投标人提交投标文件截止之日止，不少于二十日。</w:t>
      </w:r>
    </w:p>
    <w:p>
      <w:pPr>
        <w:spacing w:line="400" w:lineRule="exact"/>
        <w:ind w:firstLine="480" w:firstLineChars="200"/>
        <w:rPr>
          <w:rFonts w:ascii="仿宋" w:hAnsi="仿宋" w:eastAsia="仿宋" w:cs="仿宋"/>
          <w:color w:val="000000"/>
          <w:sz w:val="24"/>
          <w:highlight w:val="none"/>
        </w:rPr>
      </w:pPr>
      <w:bookmarkStart w:id="73" w:name="_Toc643"/>
      <w:bookmarkStart w:id="74" w:name="_Toc365831942"/>
      <w:bookmarkStart w:id="75" w:name="_Toc320508780"/>
      <w:r>
        <w:rPr>
          <w:rFonts w:hint="eastAsia" w:ascii="仿宋" w:hAnsi="仿宋" w:eastAsia="仿宋" w:cs="仿宋"/>
          <w:color w:val="000000"/>
          <w:sz w:val="24"/>
          <w:highlight w:val="none"/>
        </w:rPr>
        <w:t>三、招标文件说明</w:t>
      </w:r>
      <w:bookmarkEnd w:id="73"/>
      <w:bookmarkEnd w:id="74"/>
      <w:bookmarkEnd w:id="75"/>
    </w:p>
    <w:p>
      <w:pPr>
        <w:spacing w:line="400" w:lineRule="exact"/>
        <w:ind w:firstLine="480" w:firstLineChars="200"/>
        <w:rPr>
          <w:rFonts w:ascii="仿宋" w:hAnsi="仿宋" w:eastAsia="仿宋" w:cs="仿宋"/>
          <w:color w:val="000000"/>
          <w:sz w:val="24"/>
          <w:highlight w:val="none"/>
        </w:rPr>
      </w:pPr>
      <w:bookmarkStart w:id="76" w:name="_Toc11888"/>
      <w:bookmarkStart w:id="77" w:name="_Toc320508781"/>
      <w:bookmarkStart w:id="78" w:name="_Toc365831943"/>
      <w:r>
        <w:rPr>
          <w:rFonts w:hint="eastAsia" w:ascii="仿宋" w:hAnsi="仿宋" w:eastAsia="仿宋" w:cs="仿宋"/>
          <w:color w:val="000000"/>
          <w:sz w:val="24"/>
          <w:highlight w:val="none"/>
        </w:rPr>
        <w:t>5、招标文件的构成</w:t>
      </w:r>
      <w:bookmarkEnd w:id="76"/>
      <w:bookmarkEnd w:id="77"/>
      <w:bookmarkEnd w:id="78"/>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5.1招标文件用以阐明所需提供的服务、购买、招标程序和合同条件。招标文件包括：</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第一部分  投标邀请</w:t>
      </w:r>
      <w:r>
        <w:rPr>
          <w:rFonts w:hint="eastAsia" w:ascii="仿宋" w:hAnsi="仿宋" w:eastAsia="仿宋" w:cs="仿宋"/>
          <w:color w:val="000000"/>
          <w:sz w:val="24"/>
          <w:highlight w:val="none"/>
        </w:rPr>
        <w:tab/>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第二部分  投标人须知</w:t>
      </w:r>
      <w:r>
        <w:rPr>
          <w:rFonts w:hint="eastAsia" w:ascii="仿宋" w:hAnsi="仿宋" w:eastAsia="仿宋" w:cs="仿宋"/>
          <w:color w:val="000000"/>
          <w:sz w:val="24"/>
          <w:highlight w:val="none"/>
        </w:rPr>
        <w:tab/>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第三部分  服务合同</w:t>
      </w:r>
      <w:r>
        <w:rPr>
          <w:rFonts w:hint="eastAsia" w:ascii="仿宋" w:hAnsi="仿宋" w:eastAsia="仿宋" w:cs="仿宋"/>
          <w:color w:val="000000"/>
          <w:sz w:val="24"/>
          <w:highlight w:val="none"/>
        </w:rPr>
        <w:tab/>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第四部分  服务要求</w:t>
      </w:r>
      <w:r>
        <w:rPr>
          <w:rFonts w:hint="eastAsia" w:ascii="仿宋" w:hAnsi="仿宋" w:eastAsia="仿宋" w:cs="仿宋"/>
          <w:color w:val="000000"/>
          <w:sz w:val="24"/>
          <w:highlight w:val="none"/>
        </w:rPr>
        <w:tab/>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第五部分  投标文件格式</w:t>
      </w:r>
      <w:r>
        <w:rPr>
          <w:rFonts w:hint="eastAsia" w:ascii="仿宋" w:hAnsi="仿宋" w:eastAsia="仿宋" w:cs="仿宋"/>
          <w:color w:val="000000"/>
          <w:sz w:val="24"/>
          <w:highlight w:val="none"/>
        </w:rPr>
        <w:tab/>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第六部分  评标方法和标准</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5.2投标人应认真阅读招标文件中所有的事项、格式条款和规范要求等。投标人没有对招标文件规定的要求和条件做出响应的，采购人有权拒绝投标人的投标文件。</w:t>
      </w:r>
    </w:p>
    <w:p>
      <w:pPr>
        <w:spacing w:line="400" w:lineRule="exact"/>
        <w:ind w:firstLine="480" w:firstLineChars="200"/>
        <w:rPr>
          <w:rFonts w:ascii="仿宋" w:hAnsi="仿宋" w:eastAsia="仿宋" w:cs="仿宋"/>
          <w:color w:val="000000"/>
          <w:sz w:val="24"/>
          <w:highlight w:val="none"/>
        </w:rPr>
      </w:pPr>
      <w:bookmarkStart w:id="79" w:name="_Toc365831944"/>
      <w:bookmarkStart w:id="80" w:name="_Toc2125"/>
      <w:bookmarkStart w:id="81" w:name="_Toc320508782"/>
      <w:r>
        <w:rPr>
          <w:rFonts w:hint="eastAsia" w:ascii="仿宋" w:hAnsi="仿宋" w:eastAsia="仿宋" w:cs="仿宋"/>
          <w:color w:val="000000"/>
          <w:sz w:val="24"/>
          <w:highlight w:val="none"/>
        </w:rPr>
        <w:t>6、招标文件的澄清</w:t>
      </w:r>
      <w:bookmarkEnd w:id="79"/>
      <w:bookmarkEnd w:id="80"/>
      <w:bookmarkEnd w:id="81"/>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6.1任何要求对招标文件澄清的投标人，均应以书面形式、在投标文件递交截止期15日前（包括电报、电传、传真）通知采购代理机构。采购代理机构将视情况确定采用适当方式予以澄清或以书面形式予以答复，并在其认为必要时，将不标明查询来源的书面答复传送给每个购买招标文件的投标人。</w:t>
      </w:r>
    </w:p>
    <w:p>
      <w:pPr>
        <w:spacing w:line="400" w:lineRule="exact"/>
        <w:ind w:firstLine="480" w:firstLineChars="200"/>
        <w:rPr>
          <w:rFonts w:ascii="仿宋" w:hAnsi="仿宋" w:eastAsia="仿宋" w:cs="仿宋"/>
          <w:color w:val="000000"/>
          <w:sz w:val="24"/>
          <w:highlight w:val="none"/>
        </w:rPr>
      </w:pPr>
      <w:bookmarkStart w:id="82" w:name="_Toc29171"/>
      <w:bookmarkStart w:id="83" w:name="_Toc320508783"/>
      <w:bookmarkStart w:id="84" w:name="_Toc365831945"/>
      <w:r>
        <w:rPr>
          <w:rFonts w:hint="eastAsia" w:ascii="仿宋" w:hAnsi="仿宋" w:eastAsia="仿宋" w:cs="仿宋"/>
          <w:color w:val="000000"/>
          <w:sz w:val="24"/>
          <w:highlight w:val="none"/>
        </w:rPr>
        <w:t>7、招标文件的修改</w:t>
      </w:r>
      <w:bookmarkEnd w:id="82"/>
      <w:bookmarkEnd w:id="83"/>
      <w:bookmarkEnd w:id="84"/>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7.1在投标文件递交截止期15日前，无论出于何种原因，采购人可主动地或在解答投标人要求澄清的问题时对招标文件进行修改。   </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7.2招标文件的修改将在招标公告发布的媒体上发布更正公告并以书面形式通知所有招标文件的购买人，投标人在收到该通知后应立即以电报或传真的形式予以确认。</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7.3为使投标人在准备投标文件时，有充分的时间对招标文件的修改进行研究考虑，采购人可以自行决定，酌情推迟投标文件递交截止日期，并以书面形式通知所有已购买招标文件的投标人。</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7.4招标文件的修改书将作为招标文件的一部分，对采购人和投标人都具有约束力。</w:t>
      </w:r>
    </w:p>
    <w:p>
      <w:pPr>
        <w:spacing w:line="400" w:lineRule="exact"/>
        <w:ind w:firstLine="480" w:firstLineChars="200"/>
        <w:rPr>
          <w:rFonts w:ascii="仿宋" w:hAnsi="仿宋" w:eastAsia="仿宋" w:cs="仿宋"/>
          <w:color w:val="000000"/>
          <w:sz w:val="24"/>
          <w:highlight w:val="none"/>
        </w:rPr>
      </w:pPr>
      <w:bookmarkStart w:id="85" w:name="_Toc24250"/>
      <w:bookmarkStart w:id="86" w:name="_Toc365831946"/>
      <w:bookmarkStart w:id="87" w:name="_Toc320508784"/>
      <w:r>
        <w:rPr>
          <w:rFonts w:hint="eastAsia" w:ascii="仿宋" w:hAnsi="仿宋" w:eastAsia="仿宋" w:cs="仿宋"/>
          <w:color w:val="000000"/>
          <w:sz w:val="24"/>
          <w:highlight w:val="none"/>
        </w:rPr>
        <w:t>四、投标文件的编写</w:t>
      </w:r>
      <w:bookmarkEnd w:id="85"/>
      <w:bookmarkEnd w:id="86"/>
      <w:bookmarkEnd w:id="87"/>
    </w:p>
    <w:p>
      <w:pPr>
        <w:spacing w:line="400" w:lineRule="exact"/>
        <w:ind w:firstLine="480" w:firstLineChars="200"/>
        <w:rPr>
          <w:rFonts w:ascii="仿宋" w:hAnsi="仿宋" w:eastAsia="仿宋" w:cs="仿宋"/>
          <w:color w:val="000000"/>
          <w:sz w:val="24"/>
          <w:highlight w:val="none"/>
        </w:rPr>
      </w:pPr>
      <w:bookmarkStart w:id="88" w:name="_Toc320508785"/>
      <w:bookmarkStart w:id="89" w:name="_Toc11499"/>
      <w:bookmarkStart w:id="90" w:name="_Toc365831947"/>
      <w:r>
        <w:rPr>
          <w:rFonts w:hint="eastAsia" w:ascii="仿宋" w:hAnsi="仿宋" w:eastAsia="仿宋" w:cs="仿宋"/>
          <w:color w:val="000000"/>
          <w:sz w:val="24"/>
          <w:highlight w:val="none"/>
        </w:rPr>
        <w:t>8、投标文件语言</w:t>
      </w:r>
      <w:bookmarkEnd w:id="88"/>
      <w:bookmarkEnd w:id="89"/>
      <w:bookmarkEnd w:id="90"/>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8.1由投标人编写的投标文件和往来书信应以中文书写。</w:t>
      </w:r>
    </w:p>
    <w:p>
      <w:pPr>
        <w:spacing w:line="400" w:lineRule="exact"/>
        <w:ind w:firstLine="480" w:firstLineChars="200"/>
        <w:rPr>
          <w:rFonts w:ascii="仿宋" w:hAnsi="仿宋" w:eastAsia="仿宋" w:cs="仿宋"/>
          <w:color w:val="000000"/>
          <w:sz w:val="24"/>
          <w:highlight w:val="none"/>
        </w:rPr>
      </w:pPr>
      <w:bookmarkStart w:id="91" w:name="_Toc320508786"/>
      <w:bookmarkStart w:id="92" w:name="_Toc365831948"/>
      <w:bookmarkStart w:id="93" w:name="_Toc4023"/>
      <w:r>
        <w:rPr>
          <w:rFonts w:hint="eastAsia" w:ascii="仿宋" w:hAnsi="仿宋" w:eastAsia="仿宋" w:cs="仿宋"/>
          <w:color w:val="000000"/>
          <w:sz w:val="24"/>
          <w:highlight w:val="none"/>
        </w:rPr>
        <w:t>9、计量单位</w:t>
      </w:r>
      <w:bookmarkEnd w:id="91"/>
      <w:bookmarkEnd w:id="92"/>
      <w:bookmarkEnd w:id="93"/>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9.1除在招标文件的技术规格中另有规定外，计量单位应使用中华人民共和国法定计量单位。</w:t>
      </w:r>
    </w:p>
    <w:p>
      <w:pPr>
        <w:spacing w:line="400" w:lineRule="exact"/>
        <w:ind w:firstLine="480" w:firstLineChars="200"/>
        <w:rPr>
          <w:rFonts w:ascii="仿宋" w:hAnsi="仿宋" w:eastAsia="仿宋" w:cs="仿宋"/>
          <w:color w:val="000000"/>
          <w:sz w:val="24"/>
          <w:highlight w:val="none"/>
        </w:rPr>
      </w:pPr>
      <w:bookmarkStart w:id="94" w:name="_Toc320508787"/>
      <w:bookmarkStart w:id="95" w:name="_Toc365831949"/>
      <w:bookmarkStart w:id="96" w:name="_Toc7786"/>
      <w:r>
        <w:rPr>
          <w:rFonts w:hint="eastAsia" w:ascii="仿宋" w:hAnsi="仿宋" w:eastAsia="仿宋" w:cs="仿宋"/>
          <w:color w:val="000000"/>
          <w:sz w:val="24"/>
          <w:highlight w:val="none"/>
        </w:rPr>
        <w:t>10、投标文件的组成</w:t>
      </w:r>
      <w:bookmarkEnd w:id="94"/>
      <w:bookmarkEnd w:id="95"/>
      <w:bookmarkEnd w:id="96"/>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投标人编写的投标文件应包括下列部分：</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附件1投标申请函</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附件2开标一览表</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附件3投标分项报价表</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附件4技术（商务）偏离表</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附件5投标人认为需要提交的其他商务文件或说明</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附件6投标保证金</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附件7中标服务费承诺书</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附件8资格证明文件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包括：</w:t>
      </w:r>
    </w:p>
    <w:p>
      <w:pPr>
        <w:spacing w:line="400" w:lineRule="exact"/>
        <w:ind w:firstLine="480" w:firstLineChars="200"/>
        <w:rPr>
          <w:rFonts w:ascii="仿宋" w:hAnsi="仿宋" w:eastAsia="仿宋" w:cs="仿宋"/>
          <w:color w:val="000000"/>
          <w:sz w:val="24"/>
          <w:highlight w:val="none"/>
        </w:rPr>
      </w:pPr>
      <w:bookmarkStart w:id="97" w:name="_Toc12160"/>
      <w:bookmarkStart w:id="98" w:name="_Toc320508788"/>
      <w:bookmarkStart w:id="99" w:name="_Toc365831950"/>
      <w:r>
        <w:rPr>
          <w:rFonts w:hint="eastAsia" w:ascii="仿宋" w:hAnsi="仿宋" w:eastAsia="仿宋" w:cs="仿宋"/>
          <w:color w:val="000000"/>
          <w:sz w:val="24"/>
          <w:highlight w:val="none"/>
        </w:rPr>
        <w:t>附件8.1法人代表授权书</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附件8.2营业执照（复印件加盖单位公章）</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附件8.3资质证书（复印件加盖单位公章）</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附件8.4投标人资格声明</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附件8.5</w:t>
      </w:r>
      <w:r>
        <w:rPr>
          <w:rFonts w:hint="eastAsia" w:ascii="仿宋" w:hAnsi="仿宋" w:eastAsia="仿宋" w:cs="仿宋"/>
          <w:bCs/>
          <w:color w:val="000000"/>
          <w:sz w:val="24"/>
          <w:highlight w:val="none"/>
        </w:rPr>
        <w:t>投标人的资信证明</w:t>
      </w:r>
      <w:r>
        <w:rPr>
          <w:rFonts w:hint="eastAsia" w:ascii="仿宋" w:hAnsi="仿宋" w:eastAsia="仿宋" w:cs="仿宋"/>
          <w:color w:val="000000"/>
          <w:sz w:val="24"/>
          <w:highlight w:val="none"/>
        </w:rPr>
        <w:t>（复印件加盖单位公章）</w:t>
      </w:r>
    </w:p>
    <w:p>
      <w:pPr>
        <w:spacing w:line="4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附件8.6依法缴纳社会保障资金的记录</w:t>
      </w:r>
      <w:r>
        <w:rPr>
          <w:rFonts w:hint="eastAsia" w:ascii="仿宋" w:hAnsi="仿宋" w:eastAsia="仿宋" w:cs="仿宋"/>
          <w:bCs/>
          <w:sz w:val="24"/>
          <w:highlight w:val="none"/>
        </w:rPr>
        <w:t>（复印件加盖单位公章）</w:t>
      </w:r>
    </w:p>
    <w:p>
      <w:pPr>
        <w:spacing w:line="400" w:lineRule="exact"/>
        <w:ind w:firstLine="480" w:firstLineChars="200"/>
        <w:rPr>
          <w:rFonts w:ascii="仿宋" w:hAnsi="仿宋" w:eastAsia="仿宋" w:cs="仿宋"/>
          <w:bCs/>
          <w:sz w:val="24"/>
          <w:highlight w:val="none"/>
        </w:rPr>
      </w:pPr>
      <w:r>
        <w:rPr>
          <w:rFonts w:hint="eastAsia" w:ascii="仿宋" w:hAnsi="仿宋" w:eastAsia="仿宋" w:cs="仿宋"/>
          <w:sz w:val="24"/>
          <w:highlight w:val="none"/>
        </w:rPr>
        <w:t>附件8.7</w:t>
      </w:r>
      <w:r>
        <w:rPr>
          <w:rFonts w:hint="eastAsia" w:ascii="仿宋" w:hAnsi="仿宋" w:eastAsia="仿宋" w:cs="仿宋"/>
          <w:bCs/>
          <w:sz w:val="24"/>
          <w:highlight w:val="none"/>
        </w:rPr>
        <w:t>依法缴纳税收的记录（复印件加盖单位公章）</w:t>
      </w:r>
    </w:p>
    <w:p>
      <w:pPr>
        <w:spacing w:line="4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附件8.8 信誉要求（加盖单位公章）</w:t>
      </w:r>
    </w:p>
    <w:p>
      <w:pPr>
        <w:spacing w:line="4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附件8.9参加政府采购活动近三年内，在经营活动中没有重大违法记录声明（加盖单位公章）</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附件9服务方案</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附件10拟用于本项目团队人员、及人员资质和业绩情况</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附件11服务承诺</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kern w:val="0"/>
          <w:sz w:val="24"/>
          <w:highlight w:val="none"/>
        </w:rPr>
        <w:t>附件</w:t>
      </w:r>
      <w:r>
        <w:rPr>
          <w:rFonts w:hint="eastAsia" w:ascii="仿宋" w:hAnsi="仿宋" w:eastAsia="仿宋" w:cs="仿宋"/>
          <w:color w:val="000000"/>
          <w:sz w:val="24"/>
          <w:highlight w:val="none"/>
        </w:rPr>
        <w:t>12投标人认为有利于评审的其他相关资料</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附件13中小企业声明函</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11、投标文件格式</w:t>
      </w:r>
      <w:bookmarkEnd w:id="97"/>
      <w:bookmarkEnd w:id="98"/>
      <w:bookmarkEnd w:id="99"/>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11.1投标人应按招标文件附件中提供的投标文件格式逐项填写各文件并提交相应证明资料。</w:t>
      </w:r>
    </w:p>
    <w:p>
      <w:pPr>
        <w:spacing w:line="400" w:lineRule="exact"/>
        <w:ind w:firstLine="480" w:firstLineChars="200"/>
        <w:rPr>
          <w:rFonts w:ascii="仿宋" w:hAnsi="仿宋" w:eastAsia="仿宋" w:cs="仿宋"/>
          <w:color w:val="000000"/>
          <w:sz w:val="24"/>
          <w:highlight w:val="none"/>
        </w:rPr>
      </w:pPr>
      <w:bookmarkStart w:id="100" w:name="_Toc320508789"/>
      <w:bookmarkStart w:id="101" w:name="_Toc365831951"/>
      <w:bookmarkStart w:id="102" w:name="_Toc23906"/>
      <w:r>
        <w:rPr>
          <w:rFonts w:hint="eastAsia" w:ascii="仿宋" w:hAnsi="仿宋" w:eastAsia="仿宋" w:cs="仿宋"/>
          <w:color w:val="000000"/>
          <w:sz w:val="24"/>
          <w:highlight w:val="none"/>
        </w:rPr>
        <w:t>12、投标报价</w:t>
      </w:r>
      <w:bookmarkEnd w:id="100"/>
      <w:bookmarkEnd w:id="101"/>
      <w:bookmarkEnd w:id="102"/>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12.1各投标人根据本单位情况按照开标一览表的要求进行报价。</w:t>
      </w:r>
    </w:p>
    <w:p>
      <w:pPr>
        <w:spacing w:line="400" w:lineRule="exact"/>
        <w:ind w:firstLine="480" w:firstLineChars="200"/>
        <w:rPr>
          <w:rFonts w:ascii="仿宋" w:hAnsi="仿宋" w:eastAsia="仿宋" w:cs="仿宋"/>
          <w:strike/>
          <w:color w:val="000000"/>
          <w:sz w:val="24"/>
          <w:highlight w:val="none"/>
        </w:rPr>
      </w:pPr>
      <w:bookmarkStart w:id="103" w:name="_Toc365831952"/>
      <w:bookmarkStart w:id="104" w:name="_Toc9789"/>
      <w:bookmarkStart w:id="105" w:name="_Toc320508790"/>
      <w:r>
        <w:rPr>
          <w:rFonts w:hint="eastAsia" w:ascii="仿宋" w:hAnsi="仿宋" w:eastAsia="仿宋" w:cs="仿宋"/>
          <w:color w:val="000000"/>
          <w:sz w:val="24"/>
          <w:highlight w:val="none"/>
        </w:rPr>
        <w:t>13、投标保证金</w:t>
      </w:r>
      <w:bookmarkEnd w:id="103"/>
      <w:bookmarkEnd w:id="104"/>
      <w:bookmarkEnd w:id="105"/>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13.1投标保证金为投标文件的必须要件。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13.2投标人应向采购代理机构提交</w:t>
      </w:r>
      <w:r>
        <w:rPr>
          <w:rFonts w:hint="eastAsia" w:ascii="仿宋" w:hAnsi="仿宋" w:eastAsia="仿宋" w:cs="仿宋"/>
          <w:color w:val="000000"/>
          <w:sz w:val="24"/>
          <w:highlight w:val="none"/>
          <w:lang w:val="en-US" w:eastAsia="zh-CN"/>
        </w:rPr>
        <w:t>1.5</w:t>
      </w:r>
      <w:r>
        <w:rPr>
          <w:rFonts w:hint="eastAsia" w:ascii="仿宋" w:hAnsi="仿宋" w:eastAsia="仿宋" w:cs="仿宋"/>
          <w:color w:val="000000"/>
          <w:sz w:val="24"/>
          <w:highlight w:val="none"/>
        </w:rPr>
        <w:t>万元的投标保证金。</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13.3投标保证金用于保护采购人免受因投标人行为而蒙受的损失。</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13.4投标保证金币种仅限于人民币。投标保证金采用保函正本或电汇、转账形式，在投标文件递交截止时间前，将保证金交到采购代理机构。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13.5采购人有权拒绝接受未按规定提交保证金的投标文件。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13.6未中标投标人的投标保证金，将按规定予以退还。</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13.7中标人的投标保证金，在中标人有效的履行了本投标人须知规定后，予以退还。</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13.8 发生以下情况投标保证金将被没收：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（1）投标后投标人在投标有效期内撤回投标； </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（2）作为中标人未能做到按规定签订合同； </w:t>
      </w:r>
    </w:p>
    <w:p>
      <w:pPr>
        <w:spacing w:line="400" w:lineRule="exact"/>
        <w:ind w:firstLine="480" w:firstLineChars="200"/>
        <w:rPr>
          <w:rFonts w:ascii="仿宋" w:hAnsi="仿宋" w:eastAsia="仿宋" w:cs="仿宋"/>
          <w:color w:val="000000"/>
          <w:sz w:val="24"/>
          <w:highlight w:val="none"/>
        </w:rPr>
      </w:pPr>
      <w:bookmarkStart w:id="106" w:name="_Toc12886"/>
      <w:bookmarkStart w:id="107" w:name="_Toc320508791"/>
      <w:bookmarkStart w:id="108" w:name="_Toc365831953"/>
      <w:r>
        <w:rPr>
          <w:rFonts w:hint="eastAsia" w:ascii="仿宋" w:hAnsi="仿宋" w:eastAsia="仿宋" w:cs="仿宋"/>
          <w:color w:val="000000"/>
          <w:sz w:val="24"/>
          <w:highlight w:val="none"/>
        </w:rPr>
        <w:t>14、投标有效期</w:t>
      </w:r>
      <w:bookmarkEnd w:id="106"/>
      <w:bookmarkEnd w:id="107"/>
      <w:bookmarkEnd w:id="108"/>
    </w:p>
    <w:p>
      <w:pPr>
        <w:tabs>
          <w:tab w:val="left" w:pos="540"/>
        </w:tabs>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14.1</w:t>
      </w:r>
      <w:r>
        <w:rPr>
          <w:rFonts w:hint="eastAsia" w:ascii="仿宋" w:hAnsi="仿宋" w:eastAsia="仿宋" w:cs="仿宋"/>
          <w:bCs/>
          <w:color w:val="000000"/>
          <w:sz w:val="24"/>
          <w:highlight w:val="none"/>
        </w:rPr>
        <w:t>投标有效期为90天（从投标文件递交截止之日算起）。投标文件的有效期不足本须知规定的有效期的，将被视为非实质响应性投标文件，</w:t>
      </w:r>
      <w:r>
        <w:rPr>
          <w:rFonts w:hint="eastAsia" w:ascii="仿宋" w:hAnsi="仿宋" w:eastAsia="仿宋" w:cs="仿宋"/>
          <w:color w:val="000000"/>
          <w:sz w:val="24"/>
          <w:highlight w:val="none"/>
        </w:rPr>
        <w:t>采购</w:t>
      </w:r>
      <w:r>
        <w:rPr>
          <w:rFonts w:hint="eastAsia" w:ascii="仿宋" w:hAnsi="仿宋" w:eastAsia="仿宋" w:cs="仿宋"/>
          <w:bCs/>
          <w:color w:val="000000"/>
          <w:sz w:val="24"/>
          <w:highlight w:val="none"/>
        </w:rPr>
        <w:t>人有权拒绝其投标申请。</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14.2特殊情况下，采购人可于投标文件有效期满之前要求投标人同意延长有效期，要求与答复均应为书面形式。投标人可以拒绝上述要求，其投标保证金不被没收。对于同意该要求的投标人，既不要求也不允许其修改投标文件，但将要求其相应延长投标保证金的有效期，有关退还和没收保证金的规定在投标有效期的延长期内继续有效。</w:t>
      </w:r>
    </w:p>
    <w:p>
      <w:pPr>
        <w:spacing w:line="400" w:lineRule="exact"/>
        <w:ind w:firstLine="480" w:firstLineChars="200"/>
        <w:rPr>
          <w:rFonts w:ascii="仿宋" w:hAnsi="仿宋" w:eastAsia="仿宋" w:cs="仿宋"/>
          <w:color w:val="000000"/>
          <w:sz w:val="24"/>
          <w:highlight w:val="none"/>
        </w:rPr>
      </w:pPr>
      <w:bookmarkStart w:id="109" w:name="_Toc32634"/>
      <w:bookmarkStart w:id="110" w:name="_Toc365831954"/>
      <w:bookmarkStart w:id="111" w:name="_Toc320508792"/>
      <w:r>
        <w:rPr>
          <w:rFonts w:hint="eastAsia" w:ascii="仿宋" w:hAnsi="仿宋" w:eastAsia="仿宋" w:cs="仿宋"/>
          <w:color w:val="000000"/>
          <w:sz w:val="24"/>
          <w:highlight w:val="none"/>
        </w:rPr>
        <w:t>15投标文件的签署及规定</w:t>
      </w:r>
      <w:bookmarkEnd w:id="109"/>
      <w:bookmarkEnd w:id="110"/>
      <w:bookmarkEnd w:id="111"/>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15.1投标文件正本须是打印文件。投标文件应由投标人法定代表人或经法定代表人正式授权的投标人代表在“招标文件”要求的地方签字并加盖印章。</w:t>
      </w:r>
      <w:r>
        <w:rPr>
          <w:rFonts w:hint="eastAsia" w:ascii="仿宋" w:hAnsi="仿宋" w:eastAsia="仿宋" w:cs="仿宋"/>
          <w:bCs/>
          <w:color w:val="000000"/>
          <w:sz w:val="24"/>
          <w:highlight w:val="none"/>
        </w:rPr>
        <w:t>正本和副本存在不一致时，以正本为准</w:t>
      </w:r>
      <w:r>
        <w:rPr>
          <w:rFonts w:hint="eastAsia" w:ascii="仿宋" w:hAnsi="仿宋" w:eastAsia="仿宋" w:cs="仿宋"/>
          <w:color w:val="000000"/>
          <w:sz w:val="24"/>
          <w:highlight w:val="none"/>
        </w:rPr>
        <w:t>。</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15.2除投标人对错处作必要修改外，投标文件中不许有加行、涂抹或改写。若有修改须由签署投标文件的人在旁边签字才有效。</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15.3采购人拒绝接受以电报、电话、传真、电子邮件形式的投标文件。</w:t>
      </w:r>
    </w:p>
    <w:p>
      <w:pPr>
        <w:spacing w:line="400" w:lineRule="exact"/>
        <w:ind w:firstLine="480" w:firstLineChars="200"/>
        <w:rPr>
          <w:rFonts w:ascii="仿宋" w:hAnsi="仿宋" w:eastAsia="仿宋" w:cs="仿宋"/>
          <w:color w:val="000000"/>
          <w:sz w:val="24"/>
          <w:highlight w:val="none"/>
        </w:rPr>
      </w:pPr>
      <w:bookmarkStart w:id="112" w:name="_Toc4974"/>
      <w:bookmarkStart w:id="113" w:name="_Toc320508793"/>
      <w:bookmarkStart w:id="114" w:name="_Toc365831955"/>
      <w:r>
        <w:rPr>
          <w:rFonts w:hint="eastAsia" w:ascii="仿宋" w:hAnsi="仿宋" w:eastAsia="仿宋" w:cs="仿宋"/>
          <w:color w:val="000000"/>
          <w:sz w:val="24"/>
          <w:highlight w:val="none"/>
        </w:rPr>
        <w:t>五、投标文件的递交</w:t>
      </w:r>
      <w:bookmarkEnd w:id="112"/>
      <w:bookmarkEnd w:id="113"/>
      <w:bookmarkEnd w:id="114"/>
    </w:p>
    <w:p>
      <w:pPr>
        <w:spacing w:line="400" w:lineRule="exact"/>
        <w:ind w:firstLine="480" w:firstLineChars="200"/>
        <w:rPr>
          <w:rFonts w:ascii="仿宋" w:hAnsi="仿宋" w:eastAsia="仿宋" w:cs="仿宋"/>
          <w:color w:val="FF0000"/>
          <w:sz w:val="24"/>
          <w:highlight w:val="none"/>
        </w:rPr>
      </w:pPr>
      <w:bookmarkStart w:id="115" w:name="_Toc13925"/>
      <w:bookmarkStart w:id="116" w:name="_Toc320508794"/>
      <w:bookmarkStart w:id="117" w:name="_Toc365831956"/>
      <w:r>
        <w:rPr>
          <w:rFonts w:hint="eastAsia" w:ascii="仿宋" w:hAnsi="仿宋" w:eastAsia="仿宋" w:cs="仿宋"/>
          <w:color w:val="FF0000"/>
          <w:sz w:val="24"/>
          <w:highlight w:val="none"/>
        </w:rPr>
        <w:t>16、投标文件的数量、包装和标记</w:t>
      </w:r>
      <w:bookmarkEnd w:id="115"/>
      <w:bookmarkEnd w:id="116"/>
      <w:bookmarkEnd w:id="117"/>
    </w:p>
    <w:p>
      <w:pPr>
        <w:spacing w:line="400" w:lineRule="exact"/>
        <w:ind w:firstLine="480" w:firstLineChars="200"/>
        <w:rPr>
          <w:rFonts w:ascii="仿宋" w:hAnsi="仿宋" w:eastAsia="仿宋" w:cs="仿宋"/>
          <w:color w:val="FF0000"/>
          <w:sz w:val="24"/>
          <w:highlight w:val="none"/>
        </w:rPr>
      </w:pPr>
      <w:r>
        <w:rPr>
          <w:rFonts w:hint="eastAsia" w:ascii="仿宋" w:hAnsi="仿宋" w:eastAsia="仿宋" w:cs="仿宋"/>
          <w:color w:val="FF0000"/>
          <w:sz w:val="24"/>
          <w:highlight w:val="none"/>
        </w:rPr>
        <w:t>16.1投标人应提交1套正本“投标文件”、4套副本“投标文件”及电子版2份。每套“投标文件”封面的右上角应标明“正本”、“副本”。</w:t>
      </w:r>
      <w:r>
        <w:rPr>
          <w:rFonts w:hint="eastAsia" w:ascii="仿宋" w:hAnsi="仿宋" w:eastAsia="仿宋" w:cs="仿宋"/>
          <w:bCs/>
          <w:color w:val="FF0000"/>
          <w:sz w:val="24"/>
          <w:highlight w:val="none"/>
        </w:rPr>
        <w:t>正本、副本和电子版存在不一致时，以正本为准。</w:t>
      </w:r>
    </w:p>
    <w:p>
      <w:pPr>
        <w:spacing w:line="400" w:lineRule="exact"/>
        <w:ind w:firstLine="480" w:firstLineChars="200"/>
        <w:rPr>
          <w:rFonts w:ascii="仿宋" w:hAnsi="仿宋" w:eastAsia="仿宋" w:cs="仿宋"/>
          <w:color w:val="FF0000"/>
          <w:sz w:val="24"/>
          <w:highlight w:val="none"/>
        </w:rPr>
      </w:pPr>
      <w:r>
        <w:rPr>
          <w:rFonts w:hint="eastAsia" w:ascii="仿宋" w:hAnsi="仿宋" w:eastAsia="仿宋" w:cs="仿宋"/>
          <w:color w:val="FF0000"/>
          <w:sz w:val="24"/>
          <w:highlight w:val="none"/>
        </w:rPr>
        <w:t>16.2投标人应将投标文件正本、副本和电子版密封并分开包装，封口处应有投标单位公章。封皮正面标明项目编号、项目名称、投标人名称。</w:t>
      </w:r>
    </w:p>
    <w:p>
      <w:pPr>
        <w:spacing w:line="400" w:lineRule="exact"/>
        <w:ind w:firstLine="480" w:firstLineChars="200"/>
        <w:rPr>
          <w:rFonts w:ascii="仿宋" w:hAnsi="仿宋" w:eastAsia="仿宋" w:cs="仿宋"/>
          <w:color w:val="FF0000"/>
          <w:sz w:val="24"/>
          <w:highlight w:val="none"/>
        </w:rPr>
      </w:pPr>
      <w:r>
        <w:rPr>
          <w:rFonts w:hint="eastAsia" w:ascii="仿宋" w:hAnsi="仿宋" w:eastAsia="仿宋" w:cs="仿宋"/>
          <w:color w:val="FF0000"/>
          <w:sz w:val="24"/>
          <w:highlight w:val="none"/>
        </w:rPr>
        <w:t>16.3投标人应将投标保证金单独封装在一个信封内与其他投标文件分装；开标一览表也须单独封装在一个信封内与其他投标文件分装，封口处应有投标单位公章,封皮正面标明项目编号、项目名称、投标人名称并同时递交采购人。</w:t>
      </w:r>
    </w:p>
    <w:p>
      <w:pPr>
        <w:spacing w:line="400" w:lineRule="exact"/>
        <w:ind w:firstLine="480" w:firstLineChars="200"/>
        <w:rPr>
          <w:rFonts w:ascii="仿宋" w:hAnsi="仿宋" w:eastAsia="仿宋" w:cs="仿宋"/>
          <w:color w:val="FF0000"/>
          <w:sz w:val="24"/>
          <w:highlight w:val="none"/>
        </w:rPr>
      </w:pPr>
      <w:r>
        <w:rPr>
          <w:rFonts w:hint="eastAsia" w:ascii="仿宋" w:hAnsi="仿宋" w:eastAsia="仿宋" w:cs="仿宋"/>
          <w:color w:val="FF0000"/>
          <w:sz w:val="24"/>
          <w:highlight w:val="none"/>
        </w:rPr>
        <w:t>16.4每一密封信封上注明“于    年   月   日    时（投标截止时间）之前不准启封”的字样。</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16.5投标文件应由专人送交，投标人应将投标文件按上述规定进行密封和标记后，按投标邀请注明的地址送达采购代理机构。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16.6如果未按上述规定进行密封和标记，采购人对投标文件的误投或提前拆封不负责任。</w:t>
      </w:r>
    </w:p>
    <w:p>
      <w:pPr>
        <w:spacing w:line="400" w:lineRule="exact"/>
        <w:ind w:firstLine="480" w:firstLineChars="200"/>
        <w:rPr>
          <w:rFonts w:ascii="仿宋" w:hAnsi="仿宋" w:eastAsia="仿宋" w:cs="仿宋"/>
          <w:color w:val="000000"/>
          <w:sz w:val="24"/>
          <w:highlight w:val="none"/>
        </w:rPr>
      </w:pPr>
      <w:bookmarkStart w:id="118" w:name="_Toc32316"/>
      <w:bookmarkStart w:id="119" w:name="_Toc320508795"/>
      <w:bookmarkStart w:id="120" w:name="_Toc365831957"/>
      <w:r>
        <w:rPr>
          <w:rFonts w:hint="eastAsia" w:ascii="仿宋" w:hAnsi="仿宋" w:eastAsia="仿宋" w:cs="仿宋"/>
          <w:color w:val="000000"/>
          <w:sz w:val="24"/>
          <w:highlight w:val="none"/>
        </w:rPr>
        <w:t>17、投标文件递交截止时间</w:t>
      </w:r>
      <w:bookmarkEnd w:id="118"/>
      <w:bookmarkEnd w:id="119"/>
      <w:bookmarkEnd w:id="120"/>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17.1所有投标文件必须派人送交，并按“投标邀请”中规定的投标截止时间之前送达。</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17.2出现因招标文件的修改，推迟投标截止日期时，则按采购人修改通知规定的时间递交。</w:t>
      </w:r>
    </w:p>
    <w:p>
      <w:pPr>
        <w:spacing w:line="400" w:lineRule="exact"/>
        <w:ind w:firstLine="480" w:firstLineChars="200"/>
        <w:rPr>
          <w:rFonts w:ascii="仿宋" w:hAnsi="仿宋" w:eastAsia="仿宋" w:cs="仿宋"/>
          <w:color w:val="000000"/>
          <w:sz w:val="24"/>
          <w:highlight w:val="none"/>
        </w:rPr>
      </w:pPr>
      <w:bookmarkStart w:id="121" w:name="_Toc365831958"/>
      <w:bookmarkStart w:id="122" w:name="_Toc27893"/>
      <w:bookmarkStart w:id="123" w:name="_Toc320508796"/>
      <w:r>
        <w:rPr>
          <w:rFonts w:hint="eastAsia" w:ascii="仿宋" w:hAnsi="仿宋" w:eastAsia="仿宋" w:cs="仿宋"/>
          <w:color w:val="000000"/>
          <w:sz w:val="24"/>
          <w:highlight w:val="none"/>
        </w:rPr>
        <w:t>18、迟交的投标文件</w:t>
      </w:r>
      <w:bookmarkEnd w:id="121"/>
      <w:bookmarkEnd w:id="122"/>
      <w:bookmarkEnd w:id="123"/>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18.1采购人将拒绝接受并原封退回在投标文件递交截止时间后递交的任何投标文件。</w:t>
      </w:r>
    </w:p>
    <w:p>
      <w:pPr>
        <w:spacing w:line="400" w:lineRule="exact"/>
        <w:ind w:firstLine="480" w:firstLineChars="200"/>
        <w:rPr>
          <w:rFonts w:ascii="仿宋" w:hAnsi="仿宋" w:eastAsia="仿宋" w:cs="仿宋"/>
          <w:color w:val="000000"/>
          <w:sz w:val="24"/>
          <w:highlight w:val="none"/>
        </w:rPr>
      </w:pPr>
      <w:bookmarkStart w:id="124" w:name="_Toc365831959"/>
      <w:bookmarkStart w:id="125" w:name="_Toc1214"/>
      <w:bookmarkStart w:id="126" w:name="_Toc320508797"/>
      <w:r>
        <w:rPr>
          <w:rFonts w:hint="eastAsia" w:ascii="仿宋" w:hAnsi="仿宋" w:eastAsia="仿宋" w:cs="仿宋"/>
          <w:color w:val="000000"/>
          <w:sz w:val="24"/>
          <w:highlight w:val="none"/>
        </w:rPr>
        <w:t>19、投标文件的撤回</w:t>
      </w:r>
      <w:bookmarkEnd w:id="124"/>
      <w:bookmarkEnd w:id="125"/>
      <w:bookmarkEnd w:id="126"/>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19.1投标人在提交投标文件后可以修改或撤回其申请，但投标人必须在规定的投标截止期之前将修改或撤回的书面通知递交到采购代理机构。且该通知需经正式授权的投标人代表签字方为有效。</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19.2投标人不得在投标文件递交截止时间后至投标文件有效期期满前撤回其投标文件。否则其投标保证金将按规定被没收。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19.3投标人的修改或撤回通知应按本须知规定编制、密封、标记和递交。</w:t>
      </w:r>
    </w:p>
    <w:p>
      <w:pPr>
        <w:spacing w:line="400" w:lineRule="exact"/>
        <w:ind w:firstLine="480" w:firstLineChars="200"/>
        <w:rPr>
          <w:rFonts w:ascii="仿宋" w:hAnsi="仿宋" w:eastAsia="仿宋" w:cs="仿宋"/>
          <w:color w:val="000000"/>
          <w:sz w:val="24"/>
          <w:highlight w:val="none"/>
        </w:rPr>
      </w:pPr>
      <w:bookmarkStart w:id="127" w:name="_Toc320508798"/>
      <w:bookmarkStart w:id="128" w:name="_Toc365831960"/>
      <w:bookmarkStart w:id="129" w:name="_Toc11632"/>
      <w:r>
        <w:rPr>
          <w:rFonts w:hint="eastAsia" w:ascii="仿宋" w:hAnsi="仿宋" w:eastAsia="仿宋" w:cs="仿宋"/>
          <w:color w:val="000000"/>
          <w:sz w:val="24"/>
          <w:highlight w:val="none"/>
        </w:rPr>
        <w:t>六、开标及评标</w:t>
      </w:r>
      <w:bookmarkEnd w:id="127"/>
      <w:bookmarkEnd w:id="128"/>
      <w:bookmarkEnd w:id="129"/>
    </w:p>
    <w:p>
      <w:pPr>
        <w:spacing w:line="400" w:lineRule="exact"/>
        <w:ind w:firstLine="480" w:firstLineChars="200"/>
        <w:rPr>
          <w:rFonts w:ascii="仿宋" w:hAnsi="仿宋" w:eastAsia="仿宋" w:cs="仿宋"/>
          <w:color w:val="000000"/>
          <w:sz w:val="24"/>
          <w:highlight w:val="none"/>
        </w:rPr>
      </w:pPr>
      <w:bookmarkStart w:id="130" w:name="_Toc365831961"/>
      <w:bookmarkStart w:id="131" w:name="_Toc520356164"/>
      <w:bookmarkStart w:id="132" w:name="_Toc111211768"/>
      <w:bookmarkStart w:id="133" w:name="_Toc320508799"/>
      <w:bookmarkStart w:id="134" w:name="_Toc20323"/>
      <w:r>
        <w:rPr>
          <w:rFonts w:hint="eastAsia" w:ascii="仿宋" w:hAnsi="仿宋" w:eastAsia="仿宋" w:cs="仿宋"/>
          <w:color w:val="000000"/>
          <w:sz w:val="24"/>
          <w:highlight w:val="none"/>
        </w:rPr>
        <w:t>20.开标</w:t>
      </w:r>
      <w:bookmarkEnd w:id="130"/>
      <w:bookmarkEnd w:id="131"/>
      <w:bookmarkEnd w:id="132"/>
      <w:bookmarkEnd w:id="133"/>
      <w:bookmarkEnd w:id="134"/>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20.1采购代理机构按招标公告或投标邀请书的规定，在投标截止时间的同一时间，在招标公告或投标邀请书预先确定的地点组织公开开标。开标时邀请所有投标人代表、采购人和有关方面代表参加。参加开标的投标单位代表应签名报到以证明其出席。</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20.2开标时，由投标人或其推选的代表检查投标文件的密封情况，经确认无误后，由采购代理机构当众宣读投标人名称、投标价格、书面修改和撤回投标的通知、是否提交了投标保证金等。对于投标人在投标截止期前递交的投标声明，在开标时当众宣读，评标时有效。</w:t>
      </w:r>
    </w:p>
    <w:p>
      <w:pPr>
        <w:tabs>
          <w:tab w:val="left" w:pos="900"/>
        </w:tabs>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20.3除了按照本须知的规定原封退回迟到的投标文件之外，开标时将不得拒绝任何投标。</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20.4采购代理机构将对唱标内容做开标记录，由投标人代表当场签字确认。</w:t>
      </w:r>
    </w:p>
    <w:p>
      <w:pPr>
        <w:spacing w:line="400" w:lineRule="exact"/>
        <w:ind w:firstLine="480" w:firstLineChars="200"/>
        <w:rPr>
          <w:rFonts w:ascii="仿宋" w:hAnsi="仿宋" w:eastAsia="仿宋" w:cs="仿宋"/>
          <w:color w:val="000000"/>
          <w:sz w:val="24"/>
          <w:highlight w:val="none"/>
        </w:rPr>
      </w:pPr>
      <w:bookmarkStart w:id="135" w:name="_Toc365831962"/>
      <w:bookmarkStart w:id="136" w:name="_Toc4323"/>
      <w:bookmarkStart w:id="137" w:name="_Toc320508800"/>
      <w:r>
        <w:rPr>
          <w:rFonts w:hint="eastAsia" w:ascii="仿宋" w:hAnsi="仿宋" w:eastAsia="仿宋" w:cs="仿宋"/>
          <w:color w:val="000000"/>
          <w:sz w:val="24"/>
          <w:highlight w:val="none"/>
        </w:rPr>
        <w:t>21．组建评标委员会</w:t>
      </w:r>
      <w:bookmarkEnd w:id="135"/>
      <w:bookmarkEnd w:id="136"/>
      <w:bookmarkEnd w:id="137"/>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21.1采购人将根据本次招标项下服务的特点，按照国家有关法律、法规组建评标委员会。</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21.2评标委员会成员由采购人的代表和有关技术、经济等方面的专家组成。</w:t>
      </w:r>
    </w:p>
    <w:p>
      <w:pPr>
        <w:spacing w:line="400" w:lineRule="exact"/>
        <w:ind w:firstLine="480" w:firstLineChars="200"/>
        <w:rPr>
          <w:rFonts w:ascii="仿宋" w:hAnsi="仿宋" w:eastAsia="仿宋" w:cs="仿宋"/>
          <w:color w:val="000000"/>
          <w:sz w:val="24"/>
          <w:highlight w:val="none"/>
        </w:rPr>
      </w:pPr>
      <w:bookmarkStart w:id="138" w:name="_Toc320508801"/>
      <w:bookmarkStart w:id="139" w:name="_Toc9229"/>
      <w:bookmarkStart w:id="140" w:name="_Toc365831963"/>
      <w:r>
        <w:rPr>
          <w:rFonts w:hint="eastAsia" w:ascii="仿宋" w:hAnsi="仿宋" w:eastAsia="仿宋" w:cs="仿宋"/>
          <w:color w:val="000000"/>
          <w:sz w:val="24"/>
          <w:highlight w:val="none"/>
        </w:rPr>
        <w:t>22、对投标文件的审查和响应性的确定</w:t>
      </w:r>
      <w:bookmarkEnd w:id="138"/>
      <w:bookmarkEnd w:id="139"/>
      <w:bookmarkEnd w:id="140"/>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22.1评标前，评标委员会将审核投标文件是否完整、是否合格地签署、是否按招标文件要求提供相应的资格证明文件等，投标人递交的“投标文件”属下列情况之一的，采购人有权拒绝其投标：</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（1）投标文件逾期送达的或者未送达指定地点的；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（2）未交或未足额交纳投标保证金的；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（3）未按照招标文件规定要求签署、盖章的；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（4）投标有效期不足的；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（5）提供虚假文件的；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（6）故意隐瞒不良业绩的；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（7）不符合法律、法规和招标文件中规定的其他实质性要求的；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（8）未按招标文件要求提供相关文件的；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22.2投标文件中算术错误将按以下方法更正：投标文件中“开标一览表”（报价表）内容与投标文件中明细表内容不一致的，以“开标一览表” （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视为无效投标。</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22.3评标委员会将确定每一投标人是否对《招标文件》的要求作出了实质性的响应，而没有重大偏离。实质性响应的投标文件是指投标文件符合招标文件的所有条款、条件和规定且没有重大偏离或保留。重大偏离或保留是指影响到招标文件规定的服务范围和服务质量，或限制了采购人的权力和投标人的义务的规定，而纠正这些偏离将影响到其他提交实质性响应投标文件的投标人的公平竞争地位。</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22.4评标委员会判断投标文件的响应性仅基于投标文件本身而不靠外部证据。</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22.5评标委员会有权拒绝被确定为非实质性响应的投标文件，投标人不能通过修正或撤销不符之处而使其投标文件成为实质性响应的投标文件。</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22.6开标、评标之后，直到授予中标人合同止，凡与本次评标有关人员对属于审查、澄清、评价和比较投标的有关资料以及确定中标人意向等，均不得向投标人或其他无关的人员透露。</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22.7在评标期间，投标人试图影响采购人和评标委员会的任何活动，将导致其投标被视为无效投标，并承担相应的法律责任。</w:t>
      </w:r>
    </w:p>
    <w:p>
      <w:pPr>
        <w:spacing w:line="400" w:lineRule="exact"/>
        <w:ind w:firstLine="480" w:firstLineChars="200"/>
        <w:rPr>
          <w:rFonts w:ascii="仿宋" w:hAnsi="仿宋" w:eastAsia="仿宋" w:cs="仿宋"/>
          <w:color w:val="000000"/>
          <w:sz w:val="24"/>
          <w:highlight w:val="none"/>
        </w:rPr>
      </w:pPr>
      <w:bookmarkStart w:id="141" w:name="_Toc14979"/>
      <w:bookmarkStart w:id="142" w:name="_Toc320508802"/>
      <w:bookmarkStart w:id="143" w:name="_Toc365831964"/>
      <w:r>
        <w:rPr>
          <w:rFonts w:hint="eastAsia" w:ascii="仿宋" w:hAnsi="仿宋" w:eastAsia="仿宋" w:cs="仿宋"/>
          <w:color w:val="000000"/>
          <w:sz w:val="24"/>
          <w:highlight w:val="none"/>
        </w:rPr>
        <w:t>23、投标文件的评审和比较</w:t>
      </w:r>
      <w:bookmarkEnd w:id="141"/>
      <w:bookmarkEnd w:id="142"/>
      <w:bookmarkEnd w:id="143"/>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23.1评标委员会将对有效的投标文件进行评审。</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23.2评标委员会除考虑投标报价因素外，还将考虑相关业绩、服务方案、服务团队、服务承诺等因素。</w:t>
      </w:r>
    </w:p>
    <w:p>
      <w:pPr>
        <w:spacing w:line="400" w:lineRule="exact"/>
        <w:ind w:firstLine="480" w:firstLineChars="200"/>
        <w:rPr>
          <w:rFonts w:ascii="仿宋" w:hAnsi="仿宋" w:eastAsia="仿宋" w:cs="仿宋"/>
          <w:color w:val="000000"/>
          <w:sz w:val="24"/>
          <w:highlight w:val="none"/>
        </w:rPr>
      </w:pPr>
      <w:bookmarkStart w:id="144" w:name="_Toc320508803"/>
      <w:bookmarkStart w:id="145" w:name="_Toc365831965"/>
      <w:bookmarkStart w:id="146" w:name="_Toc17011"/>
      <w:r>
        <w:rPr>
          <w:rFonts w:hint="eastAsia" w:ascii="仿宋" w:hAnsi="仿宋" w:eastAsia="仿宋" w:cs="仿宋"/>
          <w:color w:val="000000"/>
          <w:sz w:val="24"/>
          <w:highlight w:val="none"/>
        </w:rPr>
        <w:t>24、评标原则及方法</w:t>
      </w:r>
      <w:bookmarkEnd w:id="144"/>
      <w:bookmarkEnd w:id="145"/>
      <w:bookmarkEnd w:id="146"/>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24.1评标委员会将遵循公平、公正的原则，对所有投标人的投标文件采用相同的标准进行综合评审。</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24.2评标严格按照有关法律、法规规定的要求，及招标文件的规定进行。评审方法详见招标文件评标方法和标准。</w:t>
      </w:r>
    </w:p>
    <w:p>
      <w:pPr>
        <w:spacing w:line="400" w:lineRule="exact"/>
        <w:ind w:firstLine="480" w:firstLineChars="200"/>
        <w:rPr>
          <w:rFonts w:ascii="仿宋" w:hAnsi="仿宋" w:eastAsia="仿宋" w:cs="仿宋"/>
          <w:color w:val="000000"/>
          <w:sz w:val="24"/>
          <w:highlight w:val="none"/>
        </w:rPr>
      </w:pPr>
      <w:bookmarkStart w:id="147" w:name="_Toc320508804"/>
      <w:bookmarkStart w:id="148" w:name="_Toc318837916"/>
      <w:bookmarkStart w:id="149" w:name="_Toc22303"/>
      <w:bookmarkStart w:id="150" w:name="_Toc365831966"/>
      <w:r>
        <w:rPr>
          <w:rFonts w:hint="eastAsia" w:ascii="仿宋" w:hAnsi="仿宋" w:eastAsia="仿宋" w:cs="仿宋"/>
          <w:color w:val="000000"/>
          <w:sz w:val="24"/>
          <w:highlight w:val="none"/>
        </w:rPr>
        <w:t>25、废标</w:t>
      </w:r>
      <w:bookmarkEnd w:id="147"/>
      <w:bookmarkEnd w:id="148"/>
      <w:bookmarkEnd w:id="149"/>
      <w:bookmarkEnd w:id="150"/>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在招标采购中出现下列情形之一的应予废标：</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（1）投标或有效投标不足三家的；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（2）投标人的投标报价均超过采购预算金额，采购人无法支付的；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（3）出现影响采购公正的违法、违规行为的</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（4）因重大变故，采购任务取消的。</w:t>
      </w:r>
    </w:p>
    <w:p>
      <w:pPr>
        <w:spacing w:line="400" w:lineRule="exact"/>
        <w:ind w:firstLine="480" w:firstLineChars="200"/>
        <w:rPr>
          <w:rFonts w:ascii="仿宋" w:hAnsi="仿宋" w:eastAsia="仿宋" w:cs="仿宋"/>
          <w:color w:val="000000"/>
          <w:sz w:val="24"/>
          <w:highlight w:val="none"/>
        </w:rPr>
      </w:pPr>
      <w:bookmarkStart w:id="151" w:name="_Toc10321"/>
      <w:bookmarkStart w:id="152" w:name="_Toc365831967"/>
      <w:bookmarkStart w:id="153" w:name="_Toc320508805"/>
      <w:r>
        <w:rPr>
          <w:rFonts w:hint="eastAsia" w:ascii="仿宋" w:hAnsi="仿宋" w:eastAsia="仿宋" w:cs="仿宋"/>
          <w:color w:val="000000"/>
          <w:sz w:val="24"/>
          <w:highlight w:val="none"/>
        </w:rPr>
        <w:t>26、保密</w:t>
      </w:r>
      <w:bookmarkEnd w:id="151"/>
      <w:bookmarkEnd w:id="152"/>
      <w:bookmarkEnd w:id="153"/>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26.1有关评标的任何情况，如文件的审查、澄清、承诺、评审和比较以及有关授予合同的意向等均不得透露。</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26.2投标人不得以任何方式干扰采购人和评标委员会的评审活动，否则其投标无效并追究其法律责任。</w:t>
      </w:r>
    </w:p>
    <w:p>
      <w:pPr>
        <w:spacing w:line="400" w:lineRule="exact"/>
        <w:ind w:firstLine="480" w:firstLineChars="200"/>
        <w:rPr>
          <w:rFonts w:ascii="仿宋" w:hAnsi="仿宋" w:eastAsia="仿宋" w:cs="仿宋"/>
          <w:color w:val="000000"/>
          <w:sz w:val="24"/>
          <w:highlight w:val="none"/>
        </w:rPr>
      </w:pPr>
      <w:bookmarkStart w:id="154" w:name="_Toc2308"/>
      <w:bookmarkStart w:id="155" w:name="_Toc320508806"/>
      <w:bookmarkStart w:id="156" w:name="_Toc365831968"/>
      <w:r>
        <w:rPr>
          <w:rFonts w:hint="eastAsia" w:ascii="仿宋" w:hAnsi="仿宋" w:eastAsia="仿宋" w:cs="仿宋"/>
          <w:color w:val="000000"/>
          <w:sz w:val="24"/>
          <w:highlight w:val="none"/>
        </w:rPr>
        <w:t>七、授予合同</w:t>
      </w:r>
      <w:bookmarkEnd w:id="154"/>
      <w:bookmarkEnd w:id="155"/>
      <w:bookmarkEnd w:id="156"/>
    </w:p>
    <w:p>
      <w:pPr>
        <w:spacing w:line="400" w:lineRule="exact"/>
        <w:ind w:firstLine="480" w:firstLineChars="200"/>
        <w:rPr>
          <w:rFonts w:ascii="仿宋" w:hAnsi="仿宋" w:eastAsia="仿宋" w:cs="仿宋"/>
          <w:color w:val="000000"/>
          <w:sz w:val="24"/>
          <w:highlight w:val="none"/>
        </w:rPr>
      </w:pPr>
      <w:bookmarkStart w:id="157" w:name="_Toc320508807"/>
      <w:bookmarkStart w:id="158" w:name="_Toc365831969"/>
      <w:bookmarkStart w:id="159" w:name="_Toc9282"/>
      <w:r>
        <w:rPr>
          <w:rFonts w:hint="eastAsia" w:ascii="仿宋" w:hAnsi="仿宋" w:eastAsia="仿宋" w:cs="仿宋"/>
          <w:color w:val="000000"/>
          <w:sz w:val="24"/>
          <w:highlight w:val="none"/>
        </w:rPr>
        <w:t>27、中标准则</w:t>
      </w:r>
      <w:bookmarkEnd w:id="157"/>
      <w:bookmarkEnd w:id="158"/>
      <w:bookmarkEnd w:id="159"/>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27.1采用综合评分法：</w:t>
      </w:r>
      <w:r>
        <w:rPr>
          <w:rFonts w:hint="eastAsia" w:ascii="仿宋" w:hAnsi="仿宋" w:eastAsia="仿宋" w:cs="仿宋"/>
          <w:sz w:val="24"/>
          <w:highlight w:val="none"/>
        </w:rPr>
        <w:t>按评审后得分由高到低顺序排列。得分相同的，按投标报价由低到高顺序排列，得分与投标报价均相同的，按技术指标优劣排列。</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27.2《中标通知书》发出后，如果中标人不能按投标文件中承诺的条件履行签约行为，采购人有权扣除其投标保证金，可以选择报价排序次之的投标人作为新的合同授予人，依次类推。</w:t>
      </w:r>
    </w:p>
    <w:p>
      <w:pPr>
        <w:spacing w:line="400" w:lineRule="exact"/>
        <w:ind w:firstLine="480" w:firstLineChars="200"/>
        <w:rPr>
          <w:rFonts w:ascii="仿宋" w:hAnsi="仿宋" w:eastAsia="仿宋" w:cs="仿宋"/>
          <w:color w:val="000000"/>
          <w:sz w:val="24"/>
          <w:highlight w:val="none"/>
        </w:rPr>
      </w:pPr>
      <w:bookmarkStart w:id="160" w:name="_Toc11257"/>
      <w:bookmarkStart w:id="161" w:name="_Toc365831970"/>
      <w:bookmarkStart w:id="162" w:name="_Toc320508808"/>
      <w:r>
        <w:rPr>
          <w:rFonts w:hint="eastAsia" w:ascii="仿宋" w:hAnsi="仿宋" w:eastAsia="仿宋" w:cs="仿宋"/>
          <w:color w:val="000000"/>
          <w:sz w:val="24"/>
          <w:highlight w:val="none"/>
        </w:rPr>
        <w:t>28、中标公告</w:t>
      </w:r>
      <w:bookmarkEnd w:id="160"/>
      <w:bookmarkEnd w:id="161"/>
      <w:bookmarkEnd w:id="162"/>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28.1采购代理机构根据评标委员会的评审资料和评审结果编写评标结果报告，并提交采购人。</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28.2采购人确认评审结果后，采购代理机构将在相关网络或媒体发布中标公告。</w:t>
      </w:r>
    </w:p>
    <w:p>
      <w:pPr>
        <w:spacing w:line="400" w:lineRule="exact"/>
        <w:ind w:firstLine="482" w:firstLineChars="200"/>
        <w:rPr>
          <w:rFonts w:ascii="仿宋" w:hAnsi="仿宋" w:eastAsia="仿宋" w:cs="仿宋"/>
          <w:b/>
          <w:color w:val="000000"/>
          <w:sz w:val="24"/>
          <w:highlight w:val="none"/>
        </w:rPr>
      </w:pPr>
      <w:bookmarkStart w:id="163" w:name="_Toc365831971"/>
      <w:bookmarkStart w:id="164" w:name="_Toc320508809"/>
      <w:r>
        <w:rPr>
          <w:rFonts w:hint="eastAsia" w:ascii="仿宋" w:hAnsi="仿宋" w:eastAsia="仿宋" w:cs="仿宋"/>
          <w:b/>
          <w:color w:val="000000"/>
          <w:sz w:val="24"/>
          <w:highlight w:val="none"/>
        </w:rPr>
        <w:t>29、中标通知</w:t>
      </w:r>
      <w:bookmarkEnd w:id="163"/>
      <w:bookmarkEnd w:id="164"/>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29.1中标公告截止后，采购人（采购代理机构）向中标人发出《中标通知书》；对于其他投标人，将在《中标通知书》发出之日起五个工作日内退还其投标保证金。</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29.2《中标通知书》将作为签订服务合同的依据。</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29.3对未中标人，采购人不做出解释，同时亦不退还投标文件。</w:t>
      </w:r>
    </w:p>
    <w:p>
      <w:pPr>
        <w:spacing w:line="400" w:lineRule="exact"/>
        <w:ind w:firstLine="480" w:firstLineChars="200"/>
        <w:rPr>
          <w:rFonts w:ascii="仿宋" w:hAnsi="仿宋" w:eastAsia="仿宋" w:cs="仿宋"/>
          <w:color w:val="000000"/>
          <w:sz w:val="24"/>
          <w:highlight w:val="none"/>
        </w:rPr>
      </w:pPr>
      <w:bookmarkStart w:id="165" w:name="_Toc5174"/>
      <w:bookmarkStart w:id="166" w:name="_Toc320508810"/>
      <w:bookmarkStart w:id="167" w:name="_Toc365831972"/>
      <w:r>
        <w:rPr>
          <w:rFonts w:hint="eastAsia" w:ascii="仿宋" w:hAnsi="仿宋" w:eastAsia="仿宋" w:cs="仿宋"/>
          <w:color w:val="000000"/>
          <w:sz w:val="24"/>
          <w:highlight w:val="none"/>
        </w:rPr>
        <w:t>30、签订服务合同</w:t>
      </w:r>
      <w:bookmarkEnd w:id="165"/>
      <w:bookmarkEnd w:id="166"/>
      <w:bookmarkEnd w:id="167"/>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30.1中标人应在《中标通知书》发出之日起30日内与采购人签订服务协议。</w:t>
      </w:r>
    </w:p>
    <w:p>
      <w:pPr>
        <w:spacing w:line="40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30.2《招标文件》、中标人的投标文件等，均为有法律约束力的</w:t>
      </w:r>
      <w:r>
        <w:rPr>
          <w:rFonts w:hint="eastAsia" w:ascii="仿宋" w:hAnsi="仿宋" w:eastAsia="仿宋" w:cs="仿宋"/>
          <w:bCs/>
          <w:color w:val="000000"/>
          <w:sz w:val="24"/>
          <w:highlight w:val="none"/>
        </w:rPr>
        <w:t>服务合同的组成部分</w:t>
      </w:r>
      <w:r>
        <w:rPr>
          <w:rFonts w:hint="eastAsia" w:ascii="仿宋" w:hAnsi="仿宋" w:eastAsia="仿宋" w:cs="仿宋"/>
          <w:color w:val="000000"/>
          <w:sz w:val="24"/>
          <w:highlight w:val="none"/>
        </w:rPr>
        <w:t>。</w:t>
      </w:r>
    </w:p>
    <w:p>
      <w:pPr>
        <w:spacing w:line="400" w:lineRule="exact"/>
        <w:ind w:firstLine="480" w:firstLineChars="200"/>
        <w:rPr>
          <w:rFonts w:ascii="仿宋" w:hAnsi="仿宋" w:eastAsia="仿宋" w:cs="仿宋"/>
          <w:color w:val="000000"/>
          <w:kern w:val="0"/>
          <w:sz w:val="24"/>
          <w:highlight w:val="none"/>
        </w:rPr>
      </w:pPr>
      <w:r>
        <w:rPr>
          <w:rFonts w:hint="eastAsia" w:ascii="仿宋" w:hAnsi="仿宋" w:eastAsia="仿宋" w:cs="仿宋"/>
          <w:color w:val="000000"/>
          <w:sz w:val="24"/>
          <w:highlight w:val="none"/>
        </w:rPr>
        <w:t>30.3若中标人不能按招标文件要求和其投标文件的应答内容与采购人签订服务合同，</w:t>
      </w:r>
      <w:r>
        <w:rPr>
          <w:rFonts w:hint="eastAsia" w:ascii="仿宋" w:hAnsi="仿宋" w:eastAsia="仿宋" w:cs="仿宋"/>
          <w:color w:val="000000"/>
          <w:kern w:val="0"/>
          <w:sz w:val="24"/>
          <w:highlight w:val="none"/>
        </w:rPr>
        <w:t>采购人有权取消其中标资格，可以按评审排名的次序选择下一名投标人为中标人。</w:t>
      </w:r>
    </w:p>
    <w:p>
      <w:pPr>
        <w:spacing w:line="400" w:lineRule="exact"/>
        <w:ind w:firstLine="480" w:firstLineChars="200"/>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30.4如果中标人未按照上述规定执行，采购人有权取消其中标资格，可以按评审排名的次序选择下一名投标人为中标人。</w:t>
      </w:r>
    </w:p>
    <w:p>
      <w:pPr>
        <w:pStyle w:val="3"/>
        <w:spacing w:before="0" w:after="0" w:line="360" w:lineRule="auto"/>
        <w:jc w:val="center"/>
        <w:rPr>
          <w:rFonts w:ascii="仿宋" w:hAnsi="仿宋" w:eastAsia="仿宋" w:cs="仿宋"/>
          <w:color w:val="000000"/>
          <w:sz w:val="28"/>
          <w:szCs w:val="28"/>
          <w:highlight w:val="none"/>
        </w:rPr>
      </w:pPr>
      <w:bookmarkStart w:id="168" w:name="_Toc320508813"/>
      <w:bookmarkStart w:id="169" w:name="_Toc365831974"/>
      <w:bookmarkStart w:id="170" w:name="_Toc440282428"/>
      <w:bookmarkStart w:id="171" w:name="_Toc365832045"/>
      <w:bookmarkStart w:id="172" w:name="_Toc320508851"/>
      <w:r>
        <w:rPr>
          <w:rFonts w:hint="eastAsia" w:ascii="仿宋" w:hAnsi="仿宋" w:eastAsia="仿宋" w:cs="仿宋"/>
          <w:color w:val="000000"/>
          <w:sz w:val="28"/>
          <w:szCs w:val="28"/>
          <w:highlight w:val="none"/>
        </w:rPr>
        <w:br w:type="page"/>
      </w:r>
      <w:bookmarkStart w:id="173" w:name="_Toc16872"/>
      <w:bookmarkStart w:id="174" w:name="_Toc31303"/>
      <w:bookmarkStart w:id="175" w:name="_Toc13013"/>
      <w:bookmarkStart w:id="176" w:name="_Toc26187"/>
      <w:r>
        <w:rPr>
          <w:rFonts w:hint="eastAsia" w:ascii="仿宋" w:hAnsi="仿宋" w:eastAsia="仿宋" w:cs="仿宋"/>
          <w:color w:val="000000"/>
          <w:sz w:val="32"/>
          <w:szCs w:val="32"/>
          <w:highlight w:val="none"/>
        </w:rPr>
        <w:t>第三部分  服务合同</w:t>
      </w:r>
      <w:bookmarkEnd w:id="168"/>
      <w:bookmarkEnd w:id="169"/>
      <w:bookmarkEnd w:id="173"/>
      <w:bookmarkEnd w:id="174"/>
      <w:bookmarkEnd w:id="175"/>
      <w:bookmarkEnd w:id="176"/>
    </w:p>
    <w:p>
      <w:pPr>
        <w:spacing w:line="360" w:lineRule="auto"/>
        <w:rPr>
          <w:rFonts w:ascii="仿宋" w:hAnsi="仿宋" w:eastAsia="仿宋" w:cs="仿宋"/>
          <w:color w:val="000000"/>
          <w:sz w:val="24"/>
          <w:highlight w:val="none"/>
        </w:rPr>
      </w:pPr>
      <w:bookmarkStart w:id="177" w:name="_Toc21738"/>
      <w:r>
        <w:rPr>
          <w:rFonts w:hint="eastAsia" w:ascii="仿宋" w:hAnsi="仿宋" w:eastAsia="仿宋" w:cs="仿宋"/>
          <w:color w:val="000000"/>
          <w:sz w:val="24"/>
          <w:highlight w:val="none"/>
        </w:rPr>
        <w:t xml:space="preserve">甲方：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乙方：</w:t>
      </w:r>
    </w:p>
    <w:p>
      <w:pPr>
        <w:spacing w:line="360" w:lineRule="auto"/>
        <w:ind w:firstLine="600" w:firstLineChars="250"/>
        <w:rPr>
          <w:rFonts w:ascii="仿宋" w:hAnsi="仿宋" w:eastAsia="仿宋" w:cs="仿宋"/>
          <w:color w:val="000000"/>
          <w:sz w:val="24"/>
          <w:highlight w:val="none"/>
        </w:rPr>
      </w:pP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项目以</w:t>
      </w:r>
      <w:r>
        <w:rPr>
          <w:rFonts w:hint="eastAsia" w:ascii="仿宋" w:hAnsi="仿宋" w:eastAsia="仿宋" w:cs="仿宋"/>
          <w:color w:val="000000"/>
          <w:sz w:val="24"/>
          <w:highlight w:val="none"/>
          <w:u w:val="single"/>
        </w:rPr>
        <w:t>公开招标</w:t>
      </w:r>
      <w:r>
        <w:rPr>
          <w:rFonts w:hint="eastAsia" w:ascii="仿宋" w:hAnsi="仿宋" w:eastAsia="仿宋" w:cs="仿宋"/>
          <w:color w:val="000000"/>
          <w:sz w:val="24"/>
          <w:highlight w:val="none"/>
        </w:rPr>
        <w:t>方式，经评标委员会评定</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(乙方)为中标人。甲、乙双方同意按照下面的条款和条件，签署本合同。</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1.合同文件</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1.1下列文件构成本合同的组成部分，认为是一个整体，彼此相互解释、相互补充。</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a.</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本合同书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b.</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中标通知书</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c.</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补充协议</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d.</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投标文件(含澄清文件)</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e.</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招标文件(含招标文件补充通知)</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2.合同总价</w:t>
      </w:r>
    </w:p>
    <w:p>
      <w:pPr>
        <w:spacing w:line="360" w:lineRule="auto"/>
        <w:ind w:firstLine="480" w:firstLineChars="200"/>
        <w:rPr>
          <w:rFonts w:ascii="仿宋" w:hAnsi="仿宋" w:eastAsia="仿宋" w:cs="仿宋"/>
          <w:color w:val="000000"/>
          <w:sz w:val="24"/>
          <w:highlight w:val="none"/>
          <w:u w:val="single"/>
        </w:rPr>
      </w:pPr>
      <w:r>
        <w:rPr>
          <w:rFonts w:hint="eastAsia" w:ascii="仿宋" w:hAnsi="仿宋" w:eastAsia="仿宋" w:cs="仿宋"/>
          <w:color w:val="000000"/>
          <w:sz w:val="24"/>
          <w:highlight w:val="none"/>
        </w:rPr>
        <w:t>2.1本合同总价：</w:t>
      </w:r>
      <w:r>
        <w:rPr>
          <w:rFonts w:hint="eastAsia" w:ascii="仿宋" w:hAnsi="仿宋" w:eastAsia="仿宋" w:cs="仿宋"/>
          <w:color w:val="000000"/>
          <w:sz w:val="24"/>
          <w:highlight w:val="none"/>
          <w:u w:val="single"/>
        </w:rPr>
        <w:t xml:space="preserve">               </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3.服务内容</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本合同服务内容：按招标文件第四部分 服务要求。</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4.服务范围</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4.1本合同服务界定于以下范围：</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项目范围包括：按招标文件第四部分 服务要求。 </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5.合同履行期限</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1年</w:t>
      </w:r>
      <w:r>
        <w:rPr>
          <w:rFonts w:hint="eastAsia" w:ascii="仿宋" w:hAnsi="仿宋" w:eastAsia="仿宋" w:cs="仿宋"/>
          <w:color w:val="000000"/>
          <w:sz w:val="24"/>
          <w:highlight w:val="none"/>
        </w:rPr>
        <w:t>。</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6.验收</w:t>
      </w:r>
    </w:p>
    <w:p>
      <w:pPr>
        <w:spacing w:line="360" w:lineRule="auto"/>
        <w:ind w:firstLine="480" w:firstLineChars="200"/>
        <w:rPr>
          <w:rFonts w:ascii="仿宋" w:hAnsi="仿宋" w:eastAsia="仿宋" w:cs="仿宋"/>
          <w:color w:val="000000"/>
          <w:sz w:val="24"/>
          <w:highlight w:val="none"/>
          <w:lang w:val="zh-CN"/>
        </w:rPr>
      </w:pPr>
      <w:r>
        <w:rPr>
          <w:rFonts w:hint="eastAsia" w:ascii="仿宋" w:hAnsi="仿宋" w:eastAsia="仿宋" w:cs="仿宋"/>
          <w:color w:val="000000"/>
          <w:sz w:val="24"/>
          <w:highlight w:val="none"/>
        </w:rPr>
        <w:t>验收标准：</w:t>
      </w:r>
      <w:r>
        <w:rPr>
          <w:rFonts w:hint="eastAsia" w:ascii="仿宋" w:hAnsi="仿宋" w:eastAsia="仿宋" w:cs="仿宋"/>
          <w:color w:val="000000"/>
          <w:sz w:val="24"/>
          <w:highlight w:val="none"/>
          <w:lang w:val="zh-CN"/>
        </w:rPr>
        <w:t>符合国家标准、地方标准、行业标准。</w:t>
      </w:r>
    </w:p>
    <w:p>
      <w:pPr>
        <w:spacing w:line="360" w:lineRule="auto"/>
        <w:ind w:firstLine="480" w:firstLineChars="200"/>
        <w:rPr>
          <w:rFonts w:ascii="仿宋" w:hAnsi="仿宋" w:eastAsia="仿宋" w:cs="仿宋"/>
          <w:color w:val="000000"/>
          <w:sz w:val="24"/>
          <w:highlight w:val="none"/>
          <w:lang w:val="zh-CN"/>
        </w:rPr>
      </w:pPr>
      <w:r>
        <w:rPr>
          <w:rFonts w:hint="eastAsia" w:ascii="仿宋" w:hAnsi="仿宋" w:eastAsia="仿宋" w:cs="仿宋"/>
          <w:color w:val="000000"/>
          <w:sz w:val="24"/>
          <w:highlight w:val="none"/>
        </w:rPr>
        <w:t>验收时间：服务完成后5个工作日内。</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7.付款方式：</w:t>
      </w:r>
      <w:r>
        <w:rPr>
          <w:rFonts w:hint="eastAsia" w:ascii="仿宋" w:hAnsi="仿宋" w:eastAsia="仿宋" w:cs="仿宋"/>
          <w:b w:val="0"/>
          <w:bCs/>
          <w:color w:val="000000"/>
          <w:sz w:val="24"/>
          <w:highlight w:val="none"/>
        </w:rPr>
        <w:t>按照费用总额的50%、30%、10%、10%的比例四次支付。最后一笔款，验收合格后5个工作日内，如有合同资金变更，将办理合同变更手续后，需方向财政申请转账</w:t>
      </w:r>
      <w:r>
        <w:rPr>
          <w:rFonts w:hint="eastAsia" w:ascii="仿宋" w:hAnsi="仿宋" w:eastAsia="仿宋" w:cs="仿宋"/>
          <w:bCs/>
          <w:color w:val="000000"/>
          <w:sz w:val="24"/>
          <w:highlight w:val="none"/>
        </w:rPr>
        <w:t>。</w:t>
      </w:r>
    </w:p>
    <w:p>
      <w:pPr>
        <w:spacing w:line="360" w:lineRule="auto"/>
        <w:rPr>
          <w:rFonts w:ascii="仿宋" w:hAnsi="仿宋" w:eastAsia="仿宋" w:cs="仿宋"/>
          <w:bCs/>
          <w:color w:val="000000"/>
          <w:sz w:val="24"/>
          <w:highlight w:val="none"/>
        </w:rPr>
      </w:pPr>
      <w:r>
        <w:rPr>
          <w:rFonts w:hint="eastAsia" w:ascii="仿宋" w:hAnsi="仿宋" w:eastAsia="仿宋" w:cs="仿宋"/>
          <w:b/>
          <w:color w:val="000000"/>
          <w:sz w:val="24"/>
          <w:highlight w:val="none"/>
        </w:rPr>
        <w:t>8.履约保证金：</w:t>
      </w:r>
      <w:r>
        <w:rPr>
          <w:rFonts w:hint="eastAsia" w:ascii="仿宋" w:hAnsi="仿宋" w:eastAsia="仿宋" w:cs="仿宋"/>
          <w:bCs/>
          <w:color w:val="000000"/>
          <w:sz w:val="24"/>
          <w:highlight w:val="none"/>
          <w:lang w:val="en-US" w:eastAsia="zh-CN"/>
        </w:rPr>
        <w:t>无</w:t>
      </w:r>
      <w:r>
        <w:rPr>
          <w:rFonts w:hint="eastAsia" w:ascii="仿宋" w:hAnsi="仿宋" w:eastAsia="仿宋" w:cs="仿宋"/>
          <w:bCs/>
          <w:color w:val="000000"/>
          <w:sz w:val="24"/>
          <w:highlight w:val="none"/>
        </w:rPr>
        <w:t>。</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9.商业秘密</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9.1任何一方对于因签署或履行本协议而了解或接触到的对方的商业秘密及其他机密资料和信息（以下简称“保密信息”）均应保守秘密；非经对方书面同意，任何一方不得向第三方泄露、给予或转让该等保密信息；</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9.2除本协议规定之工作所需外，未经对方事先同意，不得擅自使用、复制对方的商标、标志、商业信息、技术及其他资料。</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10.违约责任</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10.1甲、乙双方应正当行使权利，履行义务，保证本协议的顺利履行；</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10.2任何一方没有充分、及时履行义务的，应当承担违约责任；给其他方造成损失的，应赔偿其他方由此所遭受的直接和间接经济损失。</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11.免责规定</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11.1若双方因地震、火灾、水灾等自然灾害，战争等不可抗力原因或国家政策调整致使本《协议书》无法履行的，双方应协商解决，互不承担责任；</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11.2若免责条件结束后，本协议内容仍能继续履行，本《协议书》继续有效。</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12.协议执行</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12.1本协议执行过程中，甲、乙双方如需要修改、增删本《服务合同》条款内容，应在双方都认可的情况下加入本合同附件。附件具有同等法律效力；</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12.2本合同其效力、解释、履行和争议的解决，适用于中华人民共和国法律，属中华人民共和国法律管辖；</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12.3双方协议执行中如有争议，应友好协商解决，协商不成按照中华人民共和国有关法律提交当地法院解决。</w:t>
      </w: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13.合同生效和其它</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13.1本《服务合同》经双方签字、盖章之日起生效。有效期至项目顺利结束，即  年  月  日；</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13.2本协议壹式肆份，甲、乙双方各执两份，均具有同等法律效力。</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甲方：</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 xml:space="preserve">        乙方：</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tabs>
          <w:tab w:val="left" w:pos="5040"/>
        </w:tabs>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名　称：(印章)　　　　　　　　 　  名　称：(印章)</w:t>
      </w:r>
    </w:p>
    <w:p>
      <w:pPr>
        <w:spacing w:line="360" w:lineRule="auto"/>
        <w:ind w:firstLine="240" w:firstLineChars="100"/>
        <w:rPr>
          <w:rFonts w:ascii="仿宋" w:hAnsi="仿宋" w:eastAsia="仿宋" w:cs="仿宋"/>
          <w:color w:val="000000"/>
          <w:sz w:val="24"/>
          <w:highlight w:val="none"/>
        </w:rPr>
      </w:pPr>
      <w:r>
        <w:rPr>
          <w:rFonts w:hint="eastAsia" w:ascii="仿宋" w:hAnsi="仿宋" w:eastAsia="仿宋" w:cs="仿宋"/>
          <w:color w:val="000000"/>
          <w:sz w:val="24"/>
          <w:highlight w:val="none"/>
        </w:rPr>
        <w:t>年　月　日　　　　　　　　　　　   年　月　日</w:t>
      </w:r>
    </w:p>
    <w:p>
      <w:pPr>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　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 xml:space="preserve">           授权代表(签字)：</w:t>
      </w:r>
      <w:r>
        <w:rPr>
          <w:rFonts w:hint="eastAsia" w:ascii="仿宋" w:hAnsi="仿宋" w:eastAsia="仿宋" w:cs="仿宋"/>
          <w:color w:val="000000"/>
          <w:sz w:val="24"/>
          <w:highlight w:val="none"/>
          <w:u w:val="single"/>
        </w:rPr>
        <w:t xml:space="preserve">         </w:t>
      </w:r>
    </w:p>
    <w:p>
      <w:pPr>
        <w:tabs>
          <w:tab w:val="left" w:pos="4680"/>
        </w:tabs>
        <w:spacing w:line="360" w:lineRule="auto"/>
        <w:ind w:left="5040" w:hanging="5040" w:hangingChars="2100"/>
        <w:rPr>
          <w:rFonts w:ascii="仿宋" w:hAnsi="仿宋" w:eastAsia="仿宋" w:cs="仿宋"/>
          <w:color w:val="000000"/>
          <w:sz w:val="24"/>
          <w:highlight w:val="none"/>
          <w:u w:val="single"/>
        </w:rPr>
      </w:pPr>
      <w:r>
        <w:rPr>
          <w:rFonts w:hint="eastAsia" w:ascii="仿宋" w:hAnsi="仿宋" w:eastAsia="仿宋" w:cs="仿宋"/>
          <w:color w:val="000000"/>
          <w:sz w:val="24"/>
          <w:highlight w:val="none"/>
        </w:rPr>
        <w:t xml:space="preserve">  地    址：</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地    址：</w:t>
      </w:r>
      <w:r>
        <w:rPr>
          <w:rFonts w:hint="eastAsia" w:ascii="仿宋" w:hAnsi="仿宋" w:eastAsia="仿宋" w:cs="仿宋"/>
          <w:color w:val="000000"/>
          <w:sz w:val="24"/>
          <w:highlight w:val="none"/>
          <w:u w:val="single"/>
        </w:rPr>
        <w:t xml:space="preserve">               </w:t>
      </w:r>
    </w:p>
    <w:p>
      <w:pPr>
        <w:spacing w:line="360" w:lineRule="auto"/>
        <w:ind w:firstLine="240" w:firstLineChars="100"/>
        <w:rPr>
          <w:rFonts w:ascii="仿宋" w:hAnsi="仿宋" w:eastAsia="仿宋" w:cs="仿宋"/>
          <w:color w:val="000000"/>
          <w:sz w:val="24"/>
          <w:highlight w:val="none"/>
          <w:u w:val="single"/>
        </w:rPr>
      </w:pPr>
      <w:r>
        <w:rPr>
          <w:rFonts w:hint="eastAsia" w:ascii="仿宋" w:hAnsi="仿宋" w:eastAsia="仿宋" w:cs="仿宋"/>
          <w:color w:val="000000"/>
          <w:sz w:val="24"/>
          <w:highlight w:val="none"/>
        </w:rPr>
        <w:t>邮政编码：</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 xml:space="preserve">            邮政编码：</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p>
    <w:p>
      <w:pPr>
        <w:spacing w:line="360" w:lineRule="auto"/>
        <w:ind w:firstLine="240" w:firstLineChars="100"/>
        <w:rPr>
          <w:rFonts w:ascii="仿宋" w:hAnsi="仿宋" w:eastAsia="仿宋" w:cs="仿宋"/>
          <w:color w:val="000000"/>
          <w:sz w:val="24"/>
          <w:highlight w:val="none"/>
          <w:u w:val="single"/>
        </w:rPr>
      </w:pPr>
      <w:r>
        <w:rPr>
          <w:rFonts w:hint="eastAsia" w:ascii="仿宋" w:hAnsi="仿宋" w:eastAsia="仿宋" w:cs="仿宋"/>
          <w:color w:val="000000"/>
          <w:sz w:val="24"/>
          <w:highlight w:val="none"/>
        </w:rPr>
        <w:t>电　　话：</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电　　话：</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p>
    <w:p>
      <w:pPr>
        <w:spacing w:line="360" w:lineRule="auto"/>
        <w:ind w:firstLine="240" w:firstLineChars="100"/>
        <w:rPr>
          <w:rFonts w:ascii="仿宋" w:hAnsi="仿宋" w:eastAsia="仿宋" w:cs="仿宋"/>
          <w:color w:val="000000"/>
          <w:sz w:val="24"/>
          <w:highlight w:val="none"/>
          <w:u w:val="single"/>
        </w:rPr>
      </w:pPr>
      <w:r>
        <w:rPr>
          <w:rFonts w:hint="eastAsia" w:ascii="仿宋" w:hAnsi="仿宋" w:eastAsia="仿宋" w:cs="仿宋"/>
          <w:color w:val="000000"/>
          <w:sz w:val="24"/>
          <w:highlight w:val="none"/>
        </w:rPr>
        <w:t>开户银行：</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开户银行：</w:t>
      </w:r>
      <w:r>
        <w:rPr>
          <w:rFonts w:hint="eastAsia" w:ascii="仿宋" w:hAnsi="仿宋" w:eastAsia="仿宋" w:cs="仿宋"/>
          <w:color w:val="000000"/>
          <w:sz w:val="24"/>
          <w:highlight w:val="none"/>
          <w:u w:val="single"/>
        </w:rPr>
        <w:t xml:space="preserve">             </w:t>
      </w:r>
    </w:p>
    <w:p>
      <w:pPr>
        <w:spacing w:line="360" w:lineRule="auto"/>
        <w:ind w:firstLine="240" w:firstLineChars="100"/>
        <w:rPr>
          <w:highlight w:val="none"/>
        </w:rPr>
      </w:pPr>
      <w:r>
        <w:rPr>
          <w:rFonts w:hint="eastAsia" w:ascii="仿宋" w:hAnsi="仿宋" w:eastAsia="仿宋" w:cs="仿宋"/>
          <w:color w:val="000000"/>
          <w:sz w:val="24"/>
          <w:highlight w:val="none"/>
        </w:rPr>
        <w:t>账　　号：</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账　　号：</w:t>
      </w:r>
      <w:r>
        <w:rPr>
          <w:rFonts w:hint="eastAsia" w:ascii="仿宋" w:hAnsi="仿宋" w:eastAsia="仿宋" w:cs="仿宋"/>
          <w:color w:val="000000"/>
          <w:sz w:val="24"/>
          <w:highlight w:val="none"/>
          <w:u w:val="single"/>
        </w:rPr>
        <w:t xml:space="preserve">             </w:t>
      </w:r>
    </w:p>
    <w:p>
      <w:pPr>
        <w:spacing w:line="360" w:lineRule="auto"/>
        <w:ind w:firstLine="210" w:firstLineChars="100"/>
        <w:rPr>
          <w:highlight w:val="none"/>
        </w:rPr>
      </w:pPr>
    </w:p>
    <w:p>
      <w:pPr>
        <w:spacing w:line="360" w:lineRule="auto"/>
        <w:jc w:val="left"/>
        <w:rPr>
          <w:rFonts w:ascii="仿宋" w:hAnsi="仿宋" w:eastAsia="仿宋" w:cs="仿宋"/>
          <w:color w:val="000000"/>
          <w:sz w:val="24"/>
          <w:highlight w:val="none"/>
          <w:u w:val="single"/>
        </w:rPr>
      </w:pPr>
    </w:p>
    <w:p>
      <w:pPr>
        <w:pStyle w:val="3"/>
        <w:spacing w:before="0" w:after="0" w:line="360" w:lineRule="auto"/>
        <w:jc w:val="center"/>
        <w:rPr>
          <w:rFonts w:ascii="仿宋" w:hAnsi="仿宋" w:eastAsia="仿宋" w:cs="仿宋"/>
          <w:b w:val="0"/>
          <w:bCs w:val="0"/>
          <w:color w:val="000000"/>
          <w:sz w:val="24"/>
          <w:highlight w:val="none"/>
          <w:lang w:val="zh-CN"/>
        </w:rPr>
      </w:pPr>
      <w:r>
        <w:rPr>
          <w:rFonts w:hint="eastAsia" w:ascii="仿宋" w:hAnsi="仿宋" w:eastAsia="仿宋" w:cs="仿宋"/>
          <w:color w:val="000000"/>
          <w:sz w:val="32"/>
          <w:szCs w:val="32"/>
          <w:highlight w:val="none"/>
        </w:rPr>
        <w:br w:type="page"/>
      </w:r>
      <w:bookmarkStart w:id="178" w:name="_Toc15795"/>
      <w:bookmarkStart w:id="179" w:name="_Toc21405"/>
      <w:bookmarkStart w:id="180" w:name="_Toc789"/>
      <w:r>
        <w:rPr>
          <w:rFonts w:hint="eastAsia" w:ascii="仿宋" w:hAnsi="仿宋" w:eastAsia="仿宋" w:cs="仿宋"/>
          <w:color w:val="000000"/>
          <w:sz w:val="32"/>
          <w:szCs w:val="32"/>
          <w:highlight w:val="none"/>
        </w:rPr>
        <w:t>第四部分  服务要求</w:t>
      </w:r>
      <w:bookmarkEnd w:id="170"/>
      <w:bookmarkEnd w:id="177"/>
      <w:bookmarkEnd w:id="178"/>
      <w:bookmarkEnd w:id="179"/>
      <w:bookmarkEnd w:id="180"/>
    </w:p>
    <w:p>
      <w:pPr>
        <w:spacing w:line="360" w:lineRule="auto"/>
        <w:ind w:firstLine="480" w:firstLineChars="200"/>
        <w:rPr>
          <w:rFonts w:ascii="仿宋" w:hAnsi="仿宋" w:eastAsia="仿宋" w:cs="仿宋"/>
          <w:color w:val="000000"/>
          <w:sz w:val="24"/>
          <w:highlight w:val="none"/>
        </w:rPr>
      </w:pPr>
      <w:bookmarkStart w:id="181" w:name="_Toc29063"/>
      <w:bookmarkStart w:id="182" w:name="_Toc8942"/>
      <w:r>
        <w:rPr>
          <w:rFonts w:hint="eastAsia" w:ascii="仿宋" w:hAnsi="仿宋" w:eastAsia="仿宋" w:cs="仿宋"/>
          <w:color w:val="000000"/>
          <w:sz w:val="24"/>
          <w:highlight w:val="none"/>
        </w:rPr>
        <w:t>采购项目预算：</w:t>
      </w:r>
      <w:r>
        <w:rPr>
          <w:rFonts w:hint="eastAsia" w:ascii="仿宋" w:hAnsi="仿宋" w:eastAsia="仿宋" w:cs="仿宋"/>
          <w:sz w:val="24"/>
          <w:highlight w:val="none"/>
        </w:rPr>
        <w:t>394万元</w:t>
      </w:r>
      <w:r>
        <w:rPr>
          <w:rFonts w:hint="eastAsia" w:ascii="仿宋" w:hAnsi="仿宋" w:eastAsia="仿宋" w:cs="仿宋"/>
          <w:color w:val="000000"/>
          <w:sz w:val="24"/>
          <w:highlight w:val="none"/>
        </w:rPr>
        <w:t>；</w:t>
      </w:r>
    </w:p>
    <w:p>
      <w:pPr>
        <w:spacing w:line="360" w:lineRule="auto"/>
        <w:ind w:firstLine="480" w:firstLineChars="200"/>
        <w:rPr>
          <w:rFonts w:ascii="仿宋" w:hAnsi="仿宋" w:eastAsia="仿宋" w:cs="仿宋"/>
          <w:color w:val="000000"/>
          <w:sz w:val="24"/>
          <w:highlight w:val="none"/>
        </w:rPr>
      </w:pPr>
      <w:bookmarkStart w:id="183" w:name="_Toc29356"/>
      <w:bookmarkStart w:id="184" w:name="_Toc8045"/>
      <w:bookmarkStart w:id="185" w:name="_Toc13429"/>
      <w:bookmarkStart w:id="186" w:name="_Toc7107"/>
      <w:r>
        <w:rPr>
          <w:rFonts w:hint="eastAsia" w:ascii="仿宋" w:hAnsi="仿宋" w:eastAsia="仿宋" w:cs="仿宋"/>
          <w:color w:val="000000"/>
          <w:sz w:val="24"/>
          <w:highlight w:val="none"/>
        </w:rPr>
        <w:t>请投标人注意：采购人不接受超过采购项目预算的投标，否则，将被作为无效投标处理。</w:t>
      </w:r>
      <w:bookmarkEnd w:id="183"/>
      <w:bookmarkEnd w:id="184"/>
      <w:bookmarkEnd w:id="185"/>
      <w:bookmarkEnd w:id="186"/>
      <w:bookmarkStart w:id="187" w:name="_Toc17595"/>
    </w:p>
    <w:p>
      <w:pPr>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采购内容为学校教学及辅助岗位人员业务外包服务项目。根据工作实际，我校2022年计划安排业务外包服务岗位56个，用于人员工资（包括五险一金、全年意外伤害险、体检费用等）及外包管理费。</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基本情况</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总费用：人员工资+人员管理费</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人员工资</w:t>
      </w:r>
      <w:r>
        <w:rPr>
          <w:rFonts w:hint="eastAsia" w:ascii="仿宋" w:hAnsi="仿宋" w:eastAsia="仿宋" w:cs="仿宋"/>
          <w:color w:val="000000"/>
          <w:sz w:val="24"/>
          <w:highlight w:val="none"/>
          <w:lang w:val="en-US" w:eastAsia="zh-CN"/>
        </w:rPr>
        <w:t>为386.1万，</w:t>
      </w:r>
      <w:r>
        <w:rPr>
          <w:rFonts w:hint="eastAsia" w:ascii="仿宋" w:hAnsi="仿宋" w:eastAsia="仿宋" w:cs="仿宋"/>
          <w:color w:val="000000"/>
          <w:sz w:val="24"/>
          <w:highlight w:val="none"/>
        </w:rPr>
        <w:t>包括五险一金（养老保险、失业保险、医疗保险、生育险、工伤险、公积金）、全年意外伤害险、体检费用等。</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付款方式：按费用总额的50%、30%、10%、10%分四次支付。</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服务期限：</w:t>
      </w:r>
      <w:r>
        <w:rPr>
          <w:rFonts w:hint="eastAsia" w:ascii="仿宋" w:hAnsi="仿宋" w:eastAsia="仿宋" w:cs="仿宋"/>
          <w:color w:val="000000"/>
          <w:sz w:val="24"/>
          <w:highlight w:val="none"/>
          <w:lang w:val="en-US" w:eastAsia="zh-CN"/>
        </w:rPr>
        <w:t>1年</w:t>
      </w:r>
      <w:r>
        <w:rPr>
          <w:rFonts w:hint="eastAsia" w:ascii="仿宋" w:hAnsi="仿宋" w:eastAsia="仿宋" w:cs="仿宋"/>
          <w:color w:val="000000"/>
          <w:sz w:val="24"/>
          <w:highlight w:val="none"/>
        </w:rPr>
        <w:t>，以采购单位实际需求为准。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服务标准：行业标准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服务地点：吉林省残疾人中等职业学校（吉林省残疾人职业技术培训中心、吉林省盲人按摩指导中心）。</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zh-CN"/>
        </w:rPr>
        <w:t>服务方式：中标人负责保证所提供的所有服务验收合格。</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一、服务主要内容</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1.负责与业务外包人员签订劳动合同，确立劳动关系，派往校方工作，完成工作任务；</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2.负责业务外包人员的薪酬管理、社保、医保、公积金、意外伤害险办理、及个税代扣代缴，劳动关系维护，代办员工有关证件，负责业务外包人员职称申报、有关法律法规咨询等；</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3.负责处理业务外包人员提出的劳动仲裁、诉讼等事宜；</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4.</w:t>
      </w:r>
      <w:r>
        <w:rPr>
          <w:rFonts w:hint="eastAsia" w:ascii="仿宋" w:hAnsi="仿宋" w:eastAsia="仿宋" w:cs="仿宋"/>
          <w:color w:val="000000"/>
          <w:sz w:val="24"/>
          <w:highlight w:val="none"/>
          <w:lang w:val="zh-CN"/>
        </w:rPr>
        <w:t>确保及时、准确、妥善的处理业务外包人员的薪酬管理、 社保、医保、公积金、意外伤害险办理、及个税代扣代缴工作，避免发生劳动仲裁、诉讼事件；</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5.</w:t>
      </w:r>
      <w:r>
        <w:rPr>
          <w:rFonts w:hint="eastAsia" w:ascii="仿宋" w:hAnsi="仿宋" w:eastAsia="仿宋" w:cs="仿宋"/>
          <w:color w:val="000000"/>
          <w:sz w:val="24"/>
          <w:highlight w:val="none"/>
          <w:lang w:val="zh-CN"/>
        </w:rPr>
        <w:t>确保和谐、稳妥的处理业务外包人员的劳动仲裁、劳动诉讼事件，避免妨碍招标单位的正常工作或给招标单位带来不利社会影响。</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6.所需人员标准和要求：</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二、基本条件</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1.具有中华人民共和国国籍；</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2.遵守中华人民共和国宪法、法律、法规；</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3.遵守纪律、品行端正；</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4.工作认真细致，踏实肯干，具有一定解决实际问题的能力。</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5.身体健康，需交健康证或体检报告; 　　</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6.教学人员具备本科及以上学历，教辅人员中专（高中）及以上学历；</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7.从事教学工作人员应具备中专或高中教师资格证书，具备相应的教学工作经验和科学的教学方法；  　</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三、不符合招聘的条件：</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1.曾因犯罪受过刑事处罚的人员和曾被开除公职的人员，受到党纪政纪处分期限未满或者正在接受纪律审查的人员，处于刑事处罚期间或者正在接受司法调查尚未做出结论的人员；</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2.在公务员招考和事业单位公开招聘中被考试组织部门认定有严重违纪违规行为并在禁考期限内的人员；</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3.未毕业的在校学生；</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4.按照法律法规规定不得聘用的其他情形的人员。</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四、岗位条件</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岗位情况：</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977"/>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序号</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岗位名称</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计算机组装教师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学生管理教师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按摩学基础教师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语文德育教师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5</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康复体育教师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6</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心理健康教师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7</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中餐烹饪教师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8</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Flash二维动画教师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9</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实习指导教师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10</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残疾人职业教育</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11</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工艺美术教师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特教教师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13</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中医基础理论/医古文教师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14</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培训教师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15</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中医康复保健教师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16</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社区康复教师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17</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音乐教师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18</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声乐教师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19</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出纳</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20</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行政管理干事</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21</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后勤电工</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22</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办公自动化</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23</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招生就业干事</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24</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学生管理干事</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25</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食堂厨师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26</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食堂厨师助理</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27</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食堂面点师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28</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网络管理</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29</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内勤管理</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30</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图书馆馆员</w:t>
            </w:r>
          </w:p>
        </w:tc>
        <w:tc>
          <w:tcPr>
            <w:tcW w:w="3339" w:type="dxa"/>
          </w:tcPr>
          <w:p>
            <w:pP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31</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办公自动化</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32</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招生指导教师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33</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心理健康教育</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34</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班主任</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35</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综合服务</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36</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图书管理员</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37</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文字综合员</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38</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实训教师</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39</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动态与网络管理</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40</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网络编辑</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41</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信息干事</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w:t>
            </w:r>
          </w:p>
        </w:tc>
        <w:tc>
          <w:tcPr>
            <w:tcW w:w="2977"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职业指导员</w:t>
            </w:r>
          </w:p>
        </w:tc>
        <w:tc>
          <w:tcPr>
            <w:tcW w:w="3339" w:type="dxa"/>
          </w:tcPr>
          <w:p>
            <w:pP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w:t>
            </w:r>
          </w:p>
        </w:tc>
      </w:tr>
    </w:tbl>
    <w:p>
      <w:pPr>
        <w:ind w:firstLine="600" w:firstLineChars="250"/>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2.服务项目质量标准等要求：业务外包的教学和辅助教学内容必须服从和遵守招标方的各项规章制度，履行岗位职责，采取正确的教育教学手段开展教学和辅助教学活动。</w:t>
      </w:r>
    </w:p>
    <w:p>
      <w:pPr>
        <w:ind w:firstLine="600" w:firstLineChars="250"/>
        <w:rPr>
          <w:rFonts w:hint="eastAsia" w:ascii="仿宋" w:hAnsi="仿宋" w:eastAsia="仿宋" w:cs="仿宋"/>
          <w:sz w:val="24"/>
          <w:highlight w:val="none"/>
          <w:lang w:val="zh-CN"/>
        </w:rPr>
      </w:pPr>
      <w:r>
        <w:rPr>
          <w:rFonts w:hint="eastAsia" w:ascii="仿宋" w:hAnsi="仿宋" w:eastAsia="仿宋" w:cs="仿宋"/>
          <w:sz w:val="24"/>
          <w:highlight w:val="none"/>
          <w:lang w:val="zh-CN"/>
        </w:rPr>
        <w:t>3.用工形式：业务外包</w:t>
      </w:r>
    </w:p>
    <w:p>
      <w:pPr>
        <w:pStyle w:val="25"/>
        <w:spacing w:line="240" w:lineRule="auto"/>
        <w:rPr>
          <w:rFonts w:hint="eastAsia" w:ascii="仿宋" w:hAnsi="仿宋" w:eastAsia="仿宋" w:cs="仿宋"/>
          <w:sz w:val="24"/>
          <w:highlight w:val="none"/>
        </w:rPr>
      </w:pPr>
      <w:r>
        <w:rPr>
          <w:rFonts w:hint="eastAsia" w:ascii="仿宋" w:hAnsi="仿宋" w:eastAsia="仿宋" w:cs="仿宋"/>
          <w:sz w:val="24"/>
          <w:highlight w:val="none"/>
        </w:rPr>
        <w:t xml:space="preserve"> 所需人员数量：56人（提供服务时具体以实际产生人数为准）</w:t>
      </w:r>
    </w:p>
    <w:p>
      <w:pPr>
        <w:pStyle w:val="25"/>
        <w:spacing w:line="240" w:lineRule="auto"/>
        <w:rPr>
          <w:rFonts w:hint="eastAsia" w:ascii="仿宋" w:hAnsi="仿宋" w:eastAsia="仿宋" w:cs="仿宋"/>
          <w:sz w:val="24"/>
          <w:highlight w:val="none"/>
        </w:rPr>
      </w:pPr>
      <w:r>
        <w:rPr>
          <w:rFonts w:hint="eastAsia" w:ascii="仿宋" w:hAnsi="仿宋" w:eastAsia="仿宋" w:cs="仿宋"/>
          <w:sz w:val="24"/>
          <w:highlight w:val="none"/>
        </w:rPr>
        <w:t>*本项目服务需求采购人不接受负偏离，投标文件中对服务需求响应存在负偏离的服务商，其投标文件将按无效投标文件处理。</w:t>
      </w:r>
    </w:p>
    <w:p>
      <w:pPr>
        <w:spacing w:line="360" w:lineRule="auto"/>
        <w:ind w:firstLine="480" w:firstLineChars="200"/>
        <w:jc w:val="center"/>
        <w:rPr>
          <w:rFonts w:ascii="仿宋" w:hAnsi="仿宋" w:eastAsia="仿宋" w:cs="仿宋"/>
          <w:b/>
          <w:bCs/>
          <w:color w:val="000000"/>
          <w:sz w:val="32"/>
          <w:szCs w:val="32"/>
          <w:highlight w:val="none"/>
        </w:rPr>
      </w:pPr>
      <w:r>
        <w:rPr>
          <w:rFonts w:hint="eastAsia" w:ascii="仿宋" w:hAnsi="仿宋" w:eastAsia="仿宋" w:cs="仿宋"/>
          <w:color w:val="000000"/>
          <w:sz w:val="24"/>
          <w:highlight w:val="none"/>
        </w:rPr>
        <w:br w:type="page"/>
      </w:r>
      <w:bookmarkStart w:id="188" w:name="_Toc21525"/>
      <w:r>
        <w:rPr>
          <w:rStyle w:val="61"/>
          <w:rFonts w:hint="eastAsia" w:ascii="仿宋" w:hAnsi="仿宋" w:eastAsia="仿宋" w:cs="仿宋"/>
          <w:sz w:val="32"/>
          <w:szCs w:val="32"/>
          <w:highlight w:val="none"/>
        </w:rPr>
        <w:t>第五部分  投标文件格式</w:t>
      </w:r>
      <w:bookmarkEnd w:id="171"/>
      <w:bookmarkEnd w:id="172"/>
      <w:bookmarkEnd w:id="181"/>
      <w:bookmarkEnd w:id="182"/>
      <w:bookmarkEnd w:id="187"/>
      <w:bookmarkEnd w:id="188"/>
    </w:p>
    <w:p>
      <w:pPr>
        <w:keepNext/>
        <w:keepLines/>
        <w:autoSpaceDE w:val="0"/>
        <w:autoSpaceDN w:val="0"/>
        <w:adjustRightInd w:val="0"/>
        <w:spacing w:line="360" w:lineRule="auto"/>
        <w:rPr>
          <w:rFonts w:ascii="仿宋" w:hAnsi="仿宋" w:eastAsia="仿宋" w:cs="仿宋"/>
          <w:b/>
          <w:color w:val="000000"/>
          <w:sz w:val="24"/>
          <w:highlight w:val="none"/>
        </w:rPr>
      </w:pPr>
      <w:bookmarkStart w:id="189" w:name="_Toc20938"/>
      <w:bookmarkStart w:id="190" w:name="_Toc365832046"/>
      <w:bookmarkStart w:id="191" w:name="_Toc320508852"/>
      <w:r>
        <w:rPr>
          <w:rFonts w:hint="eastAsia" w:ascii="仿宋" w:hAnsi="仿宋" w:eastAsia="仿宋" w:cs="仿宋"/>
          <w:b/>
          <w:color w:val="000000"/>
          <w:sz w:val="24"/>
          <w:highlight w:val="none"/>
        </w:rPr>
        <w:t>附件1</w:t>
      </w:r>
      <w:bookmarkEnd w:id="189"/>
      <w:r>
        <w:rPr>
          <w:rFonts w:hint="eastAsia" w:ascii="仿宋" w:hAnsi="仿宋" w:eastAsia="仿宋" w:cs="仿宋"/>
          <w:b/>
          <w:color w:val="000000"/>
          <w:sz w:val="24"/>
          <w:highlight w:val="none"/>
        </w:rPr>
        <w:t xml:space="preserve"> </w:t>
      </w:r>
      <w:bookmarkStart w:id="192" w:name="_Toc8810"/>
      <w:r>
        <w:rPr>
          <w:rFonts w:hint="eastAsia" w:ascii="仿宋" w:hAnsi="仿宋" w:eastAsia="仿宋" w:cs="仿宋"/>
          <w:b/>
          <w:color w:val="000000"/>
          <w:sz w:val="24"/>
          <w:highlight w:val="none"/>
        </w:rPr>
        <w:t>投标申请函</w:t>
      </w:r>
      <w:bookmarkEnd w:id="190"/>
      <w:bookmarkEnd w:id="191"/>
      <w:bookmarkEnd w:id="192"/>
    </w:p>
    <w:p>
      <w:pPr>
        <w:spacing w:line="360" w:lineRule="auto"/>
        <w:rPr>
          <w:rFonts w:ascii="仿宋" w:hAnsi="仿宋" w:eastAsia="仿宋" w:cs="仿宋"/>
          <w:color w:val="000000"/>
          <w:sz w:val="24"/>
          <w:highlight w:val="none"/>
        </w:rPr>
      </w:pP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长春市科胜招标投标代理有限公司：</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（投标单位全称）授权</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（授权代表名称）</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（职务、职称）为授权代表，参加贵方组织的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（项目名称、项目编号）投标的有关活动，并对此项目进行申请。为此：</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1、提供投标须知规定的全部投标文件：正本一份，副本</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份。</w:t>
      </w:r>
    </w:p>
    <w:p>
      <w:pPr>
        <w:spacing w:line="360" w:lineRule="auto"/>
        <w:ind w:firstLine="480" w:firstLineChars="200"/>
        <w:rPr>
          <w:rFonts w:ascii="仿宋" w:hAnsi="仿宋" w:eastAsia="仿宋" w:cs="仿宋"/>
          <w:color w:val="FF0000"/>
          <w:sz w:val="24"/>
          <w:highlight w:val="none"/>
        </w:rPr>
      </w:pPr>
      <w:r>
        <w:rPr>
          <w:rFonts w:hint="eastAsia" w:ascii="仿宋" w:hAnsi="仿宋" w:eastAsia="仿宋" w:cs="仿宋"/>
          <w:color w:val="FF0000"/>
          <w:sz w:val="24"/>
          <w:highlight w:val="none"/>
        </w:rPr>
        <w:t>2、单独密封的投标保证金1份（投标保证金人民币</w:t>
      </w:r>
      <w:r>
        <w:rPr>
          <w:rFonts w:hint="eastAsia" w:ascii="仿宋" w:hAnsi="仿宋" w:eastAsia="仿宋" w:cs="仿宋"/>
          <w:color w:val="FF0000"/>
          <w:sz w:val="24"/>
          <w:highlight w:val="none"/>
          <w:u w:val="single"/>
        </w:rPr>
        <w:t xml:space="preserve">    </w:t>
      </w:r>
      <w:r>
        <w:rPr>
          <w:rFonts w:hint="eastAsia" w:ascii="仿宋" w:hAnsi="仿宋" w:eastAsia="仿宋" w:cs="仿宋"/>
          <w:color w:val="FF0000"/>
          <w:sz w:val="24"/>
          <w:highlight w:val="none"/>
        </w:rPr>
        <w:t>元采用保函正本或电汇、转账形式）。</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3、投标人将按照招标文件的规定承担责任和履行义务。</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4、投标人已详细审查全部投标文件，包括修改文件（如有的话）以及全部参考资料和有关附件。我们完全理解并同意放弃对这方面有不明误解的权利。</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5、其投标文件自从递交截止之日起有效期为90个日历日。</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6、投标人在投标文件有效期内撤回投标，其投标保证金将被贵方没收。</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7、中标投标人同意提供按照贵方可能要求的与其投标文件有关的一切数据或资料，完全理解贵方不一定要接受最低费率的投标或收到的任何投标。</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8、与本投标文件有关的一切正式往来通讯请寄：</w:t>
      </w:r>
    </w:p>
    <w:p>
      <w:pPr>
        <w:spacing w:line="360" w:lineRule="auto"/>
        <w:ind w:firstLine="480" w:firstLineChars="200"/>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投标人名称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（盖章）</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投标人授权代表姓名、职务：</w:t>
      </w:r>
      <w:r>
        <w:rPr>
          <w:rFonts w:hint="eastAsia" w:ascii="仿宋" w:hAnsi="仿宋" w:eastAsia="仿宋" w:cs="仿宋"/>
          <w:color w:val="000000"/>
          <w:sz w:val="24"/>
          <w:highlight w:val="none"/>
          <w:u w:val="single"/>
        </w:rPr>
        <w:t xml:space="preserve">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地  址：</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邮  编：</w:t>
      </w:r>
      <w:r>
        <w:rPr>
          <w:rFonts w:hint="eastAsia" w:ascii="仿宋" w:hAnsi="仿宋" w:eastAsia="仿宋" w:cs="仿宋"/>
          <w:color w:val="000000"/>
          <w:sz w:val="24"/>
          <w:highlight w:val="none"/>
          <w:u w:val="single"/>
        </w:rPr>
        <w:t xml:space="preserve">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电  话：</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传  真：</w:t>
      </w:r>
      <w:r>
        <w:rPr>
          <w:rFonts w:hint="eastAsia" w:ascii="仿宋" w:hAnsi="仿宋" w:eastAsia="仿宋" w:cs="仿宋"/>
          <w:color w:val="000000"/>
          <w:sz w:val="24"/>
          <w:highlight w:val="none"/>
          <w:u w:val="single"/>
        </w:rPr>
        <w:t xml:space="preserve">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日  期：    年    月    日</w:t>
      </w:r>
    </w:p>
    <w:p>
      <w:pPr>
        <w:spacing w:line="360" w:lineRule="auto"/>
        <w:rPr>
          <w:rFonts w:ascii="仿宋" w:hAnsi="仿宋" w:eastAsia="仿宋" w:cs="仿宋"/>
          <w:color w:val="000000"/>
          <w:sz w:val="24"/>
          <w:highlight w:val="none"/>
        </w:rPr>
      </w:pPr>
    </w:p>
    <w:p>
      <w:pPr>
        <w:spacing w:line="360" w:lineRule="auto"/>
        <w:rPr>
          <w:rFonts w:ascii="仿宋" w:hAnsi="仿宋" w:eastAsia="仿宋" w:cs="仿宋"/>
          <w:color w:val="000000"/>
          <w:szCs w:val="21"/>
          <w:highlight w:val="none"/>
        </w:rPr>
      </w:pPr>
    </w:p>
    <w:p>
      <w:pPr>
        <w:pageBreakBefore/>
        <w:spacing w:line="360" w:lineRule="auto"/>
        <w:rPr>
          <w:rFonts w:ascii="仿宋" w:hAnsi="仿宋" w:eastAsia="仿宋" w:cs="仿宋"/>
          <w:b/>
          <w:color w:val="000000"/>
          <w:sz w:val="24"/>
          <w:highlight w:val="none"/>
        </w:rPr>
      </w:pPr>
      <w:bookmarkStart w:id="193" w:name="_Toc320508853"/>
      <w:bookmarkStart w:id="194" w:name="_Toc24863"/>
      <w:bookmarkStart w:id="195" w:name="_Toc365832047"/>
      <w:r>
        <w:rPr>
          <w:rFonts w:hint="eastAsia" w:ascii="仿宋" w:hAnsi="仿宋" w:eastAsia="仿宋" w:cs="仿宋"/>
          <w:b/>
          <w:color w:val="000000"/>
          <w:sz w:val="24"/>
          <w:highlight w:val="none"/>
        </w:rPr>
        <w:t>附件2 开标一览表</w:t>
      </w:r>
      <w:bookmarkEnd w:id="193"/>
      <w:bookmarkEnd w:id="194"/>
      <w:bookmarkEnd w:id="195"/>
    </w:p>
    <w:p>
      <w:pPr>
        <w:spacing w:line="360" w:lineRule="auto"/>
        <w:rPr>
          <w:rFonts w:ascii="仿宋" w:hAnsi="仿宋" w:eastAsia="仿宋" w:cs="仿宋"/>
          <w:b/>
          <w:color w:val="000000"/>
          <w:sz w:val="24"/>
          <w:highlight w:val="none"/>
        </w:rPr>
      </w:pPr>
    </w:p>
    <w:p>
      <w:pPr>
        <w:tabs>
          <w:tab w:val="left" w:pos="1800"/>
          <w:tab w:val="left" w:pos="5580"/>
        </w:tabs>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项目名称： </w:t>
      </w:r>
    </w:p>
    <w:p>
      <w:pPr>
        <w:tabs>
          <w:tab w:val="left" w:pos="1800"/>
          <w:tab w:val="left" w:pos="5580"/>
        </w:tabs>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项目编号：</w:t>
      </w:r>
    </w:p>
    <w:tbl>
      <w:tblPr>
        <w:tblStyle w:val="43"/>
        <w:tblW w:w="83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63"/>
        <w:gridCol w:w="1816"/>
        <w:gridCol w:w="1617"/>
        <w:gridCol w:w="1233"/>
        <w:gridCol w:w="1334"/>
        <w:gridCol w:w="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67" w:hRule="atLeast"/>
          <w:jc w:val="center"/>
        </w:trPr>
        <w:tc>
          <w:tcPr>
            <w:tcW w:w="1363" w:type="dxa"/>
            <w:tcBorders>
              <w:top w:val="single" w:color="auto" w:sz="12" w:space="0"/>
              <w:bottom w:val="single" w:color="auto" w:sz="6" w:space="0"/>
            </w:tcBorders>
            <w:vAlign w:val="center"/>
          </w:tcPr>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投标人名称</w:t>
            </w:r>
          </w:p>
        </w:tc>
        <w:tc>
          <w:tcPr>
            <w:tcW w:w="1816" w:type="dxa"/>
            <w:tcBorders>
              <w:top w:val="single" w:color="auto" w:sz="12" w:space="0"/>
              <w:bottom w:val="single" w:color="auto" w:sz="6" w:space="0"/>
            </w:tcBorders>
            <w:vAlign w:val="center"/>
          </w:tcPr>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投标总价</w:t>
            </w:r>
          </w:p>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（人民币万元）</w:t>
            </w:r>
          </w:p>
        </w:tc>
        <w:tc>
          <w:tcPr>
            <w:tcW w:w="1617" w:type="dxa"/>
            <w:tcBorders>
              <w:top w:val="single" w:color="auto" w:sz="12" w:space="0"/>
              <w:bottom w:val="single" w:color="auto" w:sz="6" w:space="0"/>
            </w:tcBorders>
            <w:vAlign w:val="center"/>
          </w:tcPr>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投标保证金</w:t>
            </w:r>
          </w:p>
          <w:p>
            <w:pPr>
              <w:pStyle w:val="2"/>
              <w:adjustRightInd/>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（有/无）</w:t>
            </w:r>
          </w:p>
        </w:tc>
        <w:tc>
          <w:tcPr>
            <w:tcW w:w="1233" w:type="dxa"/>
            <w:tcBorders>
              <w:top w:val="single" w:color="auto" w:sz="12" w:space="0"/>
              <w:bottom w:val="single" w:color="auto" w:sz="6" w:space="0"/>
            </w:tcBorders>
            <w:vAlign w:val="center"/>
          </w:tcPr>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合同履行期限</w:t>
            </w:r>
          </w:p>
        </w:tc>
        <w:tc>
          <w:tcPr>
            <w:tcW w:w="1334" w:type="dxa"/>
            <w:tcBorders>
              <w:top w:val="single" w:color="auto" w:sz="12" w:space="0"/>
              <w:bottom w:val="single" w:color="auto" w:sz="6" w:space="0"/>
            </w:tcBorders>
            <w:vAlign w:val="center"/>
          </w:tcPr>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服务地点</w:t>
            </w:r>
          </w:p>
        </w:tc>
        <w:tc>
          <w:tcPr>
            <w:tcW w:w="979" w:type="dxa"/>
            <w:tcBorders>
              <w:top w:val="single" w:color="auto" w:sz="12" w:space="0"/>
              <w:bottom w:val="single" w:color="auto" w:sz="6" w:space="0"/>
            </w:tcBorders>
            <w:vAlign w:val="center"/>
          </w:tcPr>
          <w:p>
            <w:pPr>
              <w:tabs>
                <w:tab w:val="left" w:pos="5580"/>
              </w:tabs>
              <w:jc w:val="center"/>
              <w:rPr>
                <w:rFonts w:ascii="仿宋" w:hAnsi="仿宋" w:eastAsia="仿宋" w:cs="仿宋"/>
                <w:color w:val="000000"/>
                <w:sz w:val="24"/>
                <w:highlight w:val="none"/>
              </w:rPr>
            </w:pPr>
            <w:r>
              <w:rPr>
                <w:rFonts w:hint="eastAsia" w:ascii="仿宋" w:hAnsi="仿宋" w:eastAsia="仿宋" w:cs="仿宋"/>
                <w:color w:val="00000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291" w:hRule="atLeast"/>
          <w:jc w:val="center"/>
        </w:trPr>
        <w:tc>
          <w:tcPr>
            <w:tcW w:w="1363" w:type="dxa"/>
            <w:tcBorders>
              <w:top w:val="single" w:color="auto" w:sz="6" w:space="0"/>
            </w:tcBorders>
            <w:vAlign w:val="center"/>
          </w:tcPr>
          <w:p>
            <w:pPr>
              <w:tabs>
                <w:tab w:val="left" w:pos="5580"/>
              </w:tabs>
              <w:spacing w:line="360" w:lineRule="auto"/>
              <w:jc w:val="center"/>
              <w:rPr>
                <w:rFonts w:ascii="仿宋" w:hAnsi="仿宋" w:eastAsia="仿宋" w:cs="仿宋"/>
                <w:color w:val="000000"/>
                <w:sz w:val="24"/>
                <w:highlight w:val="none"/>
              </w:rPr>
            </w:pPr>
          </w:p>
        </w:tc>
        <w:tc>
          <w:tcPr>
            <w:tcW w:w="1816" w:type="dxa"/>
            <w:tcBorders>
              <w:top w:val="single" w:color="auto" w:sz="6" w:space="0"/>
            </w:tcBorders>
            <w:vAlign w:val="center"/>
          </w:tcPr>
          <w:p>
            <w:pPr>
              <w:tabs>
                <w:tab w:val="left" w:pos="5580"/>
              </w:tabs>
              <w:spacing w:line="360" w:lineRule="auto"/>
              <w:jc w:val="center"/>
              <w:rPr>
                <w:rFonts w:ascii="仿宋" w:hAnsi="仿宋" w:eastAsia="仿宋" w:cs="仿宋"/>
                <w:color w:val="000000"/>
                <w:sz w:val="24"/>
                <w:highlight w:val="none"/>
              </w:rPr>
            </w:pPr>
          </w:p>
        </w:tc>
        <w:tc>
          <w:tcPr>
            <w:tcW w:w="1617" w:type="dxa"/>
            <w:vAlign w:val="center"/>
          </w:tcPr>
          <w:p>
            <w:pPr>
              <w:tabs>
                <w:tab w:val="left" w:pos="5580"/>
              </w:tabs>
              <w:spacing w:line="360" w:lineRule="auto"/>
              <w:jc w:val="center"/>
              <w:rPr>
                <w:rFonts w:ascii="仿宋" w:hAnsi="仿宋" w:eastAsia="仿宋" w:cs="仿宋"/>
                <w:color w:val="000000"/>
                <w:sz w:val="24"/>
                <w:highlight w:val="none"/>
              </w:rPr>
            </w:pPr>
          </w:p>
          <w:p>
            <w:pPr>
              <w:tabs>
                <w:tab w:val="left" w:pos="5580"/>
              </w:tabs>
              <w:spacing w:line="360" w:lineRule="auto"/>
              <w:jc w:val="center"/>
              <w:rPr>
                <w:rFonts w:ascii="仿宋" w:hAnsi="仿宋" w:eastAsia="仿宋" w:cs="仿宋"/>
                <w:color w:val="000000"/>
                <w:sz w:val="24"/>
                <w:highlight w:val="none"/>
              </w:rPr>
            </w:pPr>
          </w:p>
        </w:tc>
        <w:tc>
          <w:tcPr>
            <w:tcW w:w="1233" w:type="dxa"/>
            <w:vAlign w:val="center"/>
          </w:tcPr>
          <w:p>
            <w:pPr>
              <w:tabs>
                <w:tab w:val="left" w:pos="5580"/>
              </w:tabs>
              <w:spacing w:line="360" w:lineRule="auto"/>
              <w:jc w:val="center"/>
              <w:rPr>
                <w:rFonts w:ascii="仿宋" w:hAnsi="仿宋" w:eastAsia="仿宋" w:cs="仿宋"/>
                <w:color w:val="000000"/>
                <w:sz w:val="24"/>
                <w:highlight w:val="none"/>
              </w:rPr>
            </w:pPr>
          </w:p>
        </w:tc>
        <w:tc>
          <w:tcPr>
            <w:tcW w:w="1334" w:type="dxa"/>
            <w:vAlign w:val="center"/>
          </w:tcPr>
          <w:p>
            <w:pPr>
              <w:tabs>
                <w:tab w:val="left" w:pos="5580"/>
              </w:tabs>
              <w:spacing w:line="360" w:lineRule="auto"/>
              <w:jc w:val="center"/>
              <w:rPr>
                <w:rFonts w:ascii="仿宋" w:hAnsi="仿宋" w:eastAsia="仿宋" w:cs="仿宋"/>
                <w:color w:val="000000"/>
                <w:sz w:val="24"/>
                <w:highlight w:val="none"/>
              </w:rPr>
            </w:pPr>
          </w:p>
        </w:tc>
        <w:tc>
          <w:tcPr>
            <w:tcW w:w="979" w:type="dxa"/>
            <w:vAlign w:val="center"/>
          </w:tcPr>
          <w:p>
            <w:pPr>
              <w:tabs>
                <w:tab w:val="left" w:pos="5580"/>
              </w:tabs>
              <w:spacing w:line="360" w:lineRule="auto"/>
              <w:jc w:val="center"/>
              <w:rPr>
                <w:rFonts w:ascii="仿宋" w:hAnsi="仿宋" w:eastAsia="仿宋" w:cs="仿宋"/>
                <w:color w:val="000000"/>
                <w:sz w:val="24"/>
                <w:highlight w:val="none"/>
              </w:rPr>
            </w:pPr>
          </w:p>
        </w:tc>
      </w:tr>
    </w:tbl>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  期：</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ab/>
      </w:r>
    </w:p>
    <w:p>
      <w:pPr>
        <w:spacing w:line="360" w:lineRule="auto"/>
        <w:rPr>
          <w:rFonts w:ascii="仿宋" w:hAnsi="仿宋" w:eastAsia="仿宋" w:cs="仿宋"/>
          <w:b/>
          <w:color w:val="FF0000"/>
          <w:sz w:val="24"/>
          <w:highlight w:val="none"/>
        </w:rPr>
      </w:pPr>
      <w:r>
        <w:rPr>
          <w:rFonts w:hint="eastAsia" w:ascii="仿宋" w:hAnsi="仿宋" w:eastAsia="仿宋" w:cs="仿宋"/>
          <w:b/>
          <w:color w:val="FF0000"/>
          <w:sz w:val="24"/>
          <w:highlight w:val="none"/>
        </w:rPr>
        <w:t>注:此表除在投标文件中提供外，还应按投标须知的规定另单独密封标记一份，投标时单独递交。</w:t>
      </w:r>
    </w:p>
    <w:p>
      <w:pPr>
        <w:pStyle w:val="22"/>
        <w:tabs>
          <w:tab w:val="left" w:pos="5580"/>
        </w:tabs>
        <w:spacing w:line="360" w:lineRule="auto"/>
        <w:rPr>
          <w:rFonts w:ascii="仿宋" w:hAnsi="仿宋" w:eastAsia="仿宋" w:cs="仿宋"/>
          <w:color w:val="000000"/>
          <w:sz w:val="24"/>
          <w:szCs w:val="24"/>
          <w:highlight w:val="none"/>
        </w:rPr>
      </w:pPr>
    </w:p>
    <w:p>
      <w:pPr>
        <w:pStyle w:val="4"/>
        <w:pageBreakBefore/>
        <w:adjustRightInd/>
        <w:spacing w:before="0" w:line="360" w:lineRule="auto"/>
        <w:jc w:val="both"/>
        <w:rPr>
          <w:rFonts w:ascii="仿宋" w:hAnsi="仿宋" w:eastAsia="仿宋" w:cs="仿宋"/>
          <w:bCs/>
          <w:color w:val="000000"/>
          <w:sz w:val="24"/>
          <w:szCs w:val="24"/>
          <w:highlight w:val="none"/>
        </w:rPr>
        <w:sectPr>
          <w:footerReference r:id="rId6" w:type="default"/>
          <w:pgSz w:w="11906" w:h="16838"/>
          <w:pgMar w:top="1440" w:right="1797" w:bottom="1440" w:left="1797" w:header="851" w:footer="850" w:gutter="0"/>
          <w:pgNumType w:start="1"/>
          <w:cols w:space="720" w:num="1"/>
          <w:docGrid w:linePitch="312" w:charSpace="0"/>
        </w:sectPr>
      </w:pPr>
      <w:bookmarkStart w:id="196" w:name="_Toc31415"/>
      <w:bookmarkStart w:id="197" w:name="_Toc365832048"/>
      <w:bookmarkStart w:id="198" w:name="_Toc320508854"/>
    </w:p>
    <w:p>
      <w:pPr>
        <w:pStyle w:val="4"/>
        <w:spacing w:before="0"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rPr>
        <w:t>附件3 投标分项报价表</w:t>
      </w:r>
    </w:p>
    <w:p>
      <w:pPr>
        <w:pStyle w:val="22"/>
        <w:spacing w:line="240" w:lineRule="atLeast"/>
        <w:ind w:left="1080" w:leftChars="257" w:hanging="540"/>
        <w:rPr>
          <w:rFonts w:ascii="仿宋" w:hAnsi="仿宋" w:eastAsia="仿宋" w:cs="仿宋"/>
          <w:color w:val="000000"/>
          <w:sz w:val="24"/>
          <w:highlight w:val="none"/>
        </w:rPr>
      </w:pPr>
    </w:p>
    <w:p>
      <w:pPr>
        <w:pStyle w:val="22"/>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rPr>
        <w:t>项目名称:                      项目编号:                                            　报价单位：人民币万元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545"/>
        <w:gridCol w:w="2661"/>
        <w:gridCol w:w="1551"/>
        <w:gridCol w:w="2011"/>
        <w:gridCol w:w="1552"/>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序号</w:t>
            </w:r>
          </w:p>
        </w:tc>
        <w:tc>
          <w:tcPr>
            <w:tcW w:w="3545"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名称</w:t>
            </w:r>
          </w:p>
        </w:tc>
        <w:tc>
          <w:tcPr>
            <w:tcW w:w="266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内容</w:t>
            </w:r>
          </w:p>
        </w:tc>
        <w:tc>
          <w:tcPr>
            <w:tcW w:w="155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数量</w:t>
            </w:r>
          </w:p>
        </w:tc>
        <w:tc>
          <w:tcPr>
            <w:tcW w:w="201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单价</w:t>
            </w:r>
          </w:p>
        </w:tc>
        <w:tc>
          <w:tcPr>
            <w:tcW w:w="1552"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总价</w:t>
            </w:r>
          </w:p>
        </w:tc>
        <w:tc>
          <w:tcPr>
            <w:tcW w:w="1554"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1.</w:t>
            </w:r>
          </w:p>
        </w:tc>
        <w:tc>
          <w:tcPr>
            <w:tcW w:w="3545"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服务名称</w:t>
            </w: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2.</w:t>
            </w:r>
          </w:p>
        </w:tc>
        <w:tc>
          <w:tcPr>
            <w:tcW w:w="3545" w:type="dxa"/>
            <w:vAlign w:val="center"/>
          </w:tcPr>
          <w:p>
            <w:pPr>
              <w:pStyle w:val="22"/>
              <w:spacing w:line="240" w:lineRule="atLeast"/>
              <w:jc w:val="center"/>
              <w:rPr>
                <w:rFonts w:ascii="仿宋" w:hAnsi="仿宋" w:eastAsia="仿宋" w:cs="仿宋"/>
                <w:color w:val="000000"/>
                <w:sz w:val="24"/>
                <w:highlight w:val="none"/>
              </w:rPr>
            </w:pP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3.</w:t>
            </w:r>
          </w:p>
        </w:tc>
        <w:tc>
          <w:tcPr>
            <w:tcW w:w="3545" w:type="dxa"/>
            <w:vAlign w:val="center"/>
          </w:tcPr>
          <w:p>
            <w:pPr>
              <w:pStyle w:val="22"/>
              <w:spacing w:line="240" w:lineRule="atLeast"/>
              <w:jc w:val="center"/>
              <w:rPr>
                <w:rFonts w:ascii="仿宋" w:hAnsi="仿宋" w:eastAsia="仿宋" w:cs="仿宋"/>
                <w:color w:val="000000"/>
                <w:sz w:val="24"/>
                <w:highlight w:val="none"/>
              </w:rPr>
            </w:pP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4.</w:t>
            </w:r>
          </w:p>
        </w:tc>
        <w:tc>
          <w:tcPr>
            <w:tcW w:w="3545" w:type="dxa"/>
            <w:vAlign w:val="center"/>
          </w:tcPr>
          <w:p>
            <w:pPr>
              <w:pStyle w:val="22"/>
              <w:spacing w:line="240" w:lineRule="atLeast"/>
              <w:jc w:val="center"/>
              <w:rPr>
                <w:rFonts w:ascii="仿宋" w:hAnsi="仿宋" w:eastAsia="仿宋" w:cs="仿宋"/>
                <w:color w:val="000000"/>
                <w:sz w:val="24"/>
                <w:highlight w:val="none"/>
              </w:rPr>
            </w:pP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5.</w:t>
            </w:r>
          </w:p>
        </w:tc>
        <w:tc>
          <w:tcPr>
            <w:tcW w:w="3545" w:type="dxa"/>
            <w:vAlign w:val="center"/>
          </w:tcPr>
          <w:p>
            <w:pPr>
              <w:pStyle w:val="22"/>
              <w:spacing w:line="240" w:lineRule="atLeast"/>
              <w:jc w:val="center"/>
              <w:rPr>
                <w:rFonts w:ascii="仿宋" w:hAnsi="仿宋" w:eastAsia="仿宋" w:cs="仿宋"/>
                <w:color w:val="000000"/>
                <w:sz w:val="24"/>
                <w:highlight w:val="none"/>
              </w:rPr>
            </w:pP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6.</w:t>
            </w:r>
          </w:p>
        </w:tc>
        <w:tc>
          <w:tcPr>
            <w:tcW w:w="3545" w:type="dxa"/>
            <w:vAlign w:val="center"/>
          </w:tcPr>
          <w:p>
            <w:pPr>
              <w:pStyle w:val="22"/>
              <w:spacing w:line="240" w:lineRule="atLeast"/>
              <w:jc w:val="center"/>
              <w:rPr>
                <w:rFonts w:ascii="仿宋" w:hAnsi="仿宋" w:eastAsia="仿宋" w:cs="仿宋"/>
                <w:color w:val="000000"/>
                <w:sz w:val="24"/>
                <w:highlight w:val="none"/>
              </w:rPr>
            </w:pP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vAlign w:val="center"/>
          </w:tcPr>
          <w:p>
            <w:pPr>
              <w:pStyle w:val="22"/>
              <w:spacing w:line="240" w:lineRule="atLeast"/>
              <w:jc w:val="center"/>
              <w:rPr>
                <w:rFonts w:ascii="仿宋" w:hAnsi="仿宋" w:eastAsia="仿宋" w:cs="仿宋"/>
                <w:color w:val="000000"/>
                <w:sz w:val="24"/>
                <w:highlight w:val="none"/>
              </w:rPr>
            </w:pPr>
            <w:r>
              <w:rPr>
                <w:rFonts w:hint="eastAsia" w:ascii="仿宋" w:hAnsi="仿宋" w:eastAsia="仿宋" w:cs="仿宋"/>
                <w:color w:val="000000"/>
                <w:sz w:val="24"/>
                <w:highlight w:val="none"/>
              </w:rPr>
              <w:t>7.</w:t>
            </w:r>
          </w:p>
        </w:tc>
        <w:tc>
          <w:tcPr>
            <w:tcW w:w="3545" w:type="dxa"/>
            <w:vAlign w:val="center"/>
          </w:tcPr>
          <w:p>
            <w:pPr>
              <w:pStyle w:val="22"/>
              <w:spacing w:line="240" w:lineRule="atLeast"/>
              <w:jc w:val="center"/>
              <w:rPr>
                <w:rFonts w:ascii="仿宋" w:hAnsi="仿宋" w:eastAsia="仿宋" w:cs="仿宋"/>
                <w:color w:val="000000"/>
                <w:sz w:val="24"/>
                <w:highlight w:val="none"/>
              </w:rPr>
            </w:pPr>
          </w:p>
        </w:tc>
        <w:tc>
          <w:tcPr>
            <w:tcW w:w="2661" w:type="dxa"/>
            <w:vAlign w:val="center"/>
          </w:tcPr>
          <w:p>
            <w:pPr>
              <w:pStyle w:val="22"/>
              <w:spacing w:line="240" w:lineRule="atLeast"/>
              <w:jc w:val="center"/>
              <w:rPr>
                <w:rFonts w:ascii="仿宋" w:hAnsi="仿宋" w:eastAsia="仿宋" w:cs="仿宋"/>
                <w:color w:val="000000"/>
                <w:sz w:val="24"/>
                <w:highlight w:val="none"/>
              </w:rPr>
            </w:pPr>
          </w:p>
        </w:tc>
        <w:tc>
          <w:tcPr>
            <w:tcW w:w="1551" w:type="dxa"/>
            <w:vAlign w:val="center"/>
          </w:tcPr>
          <w:p>
            <w:pPr>
              <w:pStyle w:val="22"/>
              <w:spacing w:line="240" w:lineRule="atLeast"/>
              <w:jc w:val="center"/>
              <w:rPr>
                <w:rFonts w:ascii="仿宋" w:hAnsi="仿宋" w:eastAsia="仿宋" w:cs="仿宋"/>
                <w:color w:val="000000"/>
                <w:sz w:val="24"/>
                <w:highlight w:val="none"/>
              </w:rPr>
            </w:pPr>
          </w:p>
        </w:tc>
        <w:tc>
          <w:tcPr>
            <w:tcW w:w="2011" w:type="dxa"/>
            <w:vAlign w:val="center"/>
          </w:tcPr>
          <w:p>
            <w:pPr>
              <w:pStyle w:val="22"/>
              <w:spacing w:line="240" w:lineRule="atLeast"/>
              <w:jc w:val="center"/>
              <w:rPr>
                <w:rFonts w:ascii="仿宋" w:hAnsi="仿宋" w:eastAsia="仿宋" w:cs="仿宋"/>
                <w:color w:val="000000"/>
                <w:sz w:val="24"/>
                <w:highlight w:val="none"/>
              </w:rPr>
            </w:pPr>
          </w:p>
        </w:tc>
        <w:tc>
          <w:tcPr>
            <w:tcW w:w="1552" w:type="dxa"/>
            <w:vAlign w:val="center"/>
          </w:tcPr>
          <w:p>
            <w:pPr>
              <w:pStyle w:val="22"/>
              <w:spacing w:line="240" w:lineRule="atLeast"/>
              <w:jc w:val="center"/>
              <w:rPr>
                <w:rFonts w:ascii="仿宋" w:hAnsi="仿宋" w:eastAsia="仿宋" w:cs="仿宋"/>
                <w:color w:val="000000"/>
                <w:sz w:val="24"/>
                <w:highlight w:val="none"/>
              </w:rPr>
            </w:pPr>
          </w:p>
        </w:tc>
        <w:tc>
          <w:tcPr>
            <w:tcW w:w="1554" w:type="dxa"/>
            <w:vAlign w:val="center"/>
          </w:tcPr>
          <w:p>
            <w:pPr>
              <w:pStyle w:val="22"/>
              <w:spacing w:line="240" w:lineRule="atLeas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8778" w:type="dxa"/>
            <w:gridSpan w:val="4"/>
            <w:vAlign w:val="center"/>
          </w:tcPr>
          <w:p>
            <w:pPr>
              <w:pStyle w:val="22"/>
              <w:spacing w:line="240" w:lineRule="atLeast"/>
              <w:rPr>
                <w:rFonts w:ascii="仿宋" w:hAnsi="仿宋" w:eastAsia="仿宋" w:cs="仿宋"/>
                <w:color w:val="000000"/>
                <w:sz w:val="24"/>
                <w:highlight w:val="none"/>
              </w:rPr>
            </w:pPr>
            <w:r>
              <w:rPr>
                <w:rFonts w:hint="eastAsia" w:ascii="仿宋" w:hAnsi="仿宋" w:eastAsia="仿宋" w:cs="仿宋"/>
                <w:color w:val="000000"/>
                <w:sz w:val="24"/>
                <w:highlight w:val="none"/>
              </w:rPr>
              <w:t>总价：</w:t>
            </w:r>
          </w:p>
        </w:tc>
        <w:tc>
          <w:tcPr>
            <w:tcW w:w="2011" w:type="dxa"/>
            <w:vAlign w:val="center"/>
          </w:tcPr>
          <w:p>
            <w:pPr>
              <w:pStyle w:val="22"/>
              <w:spacing w:line="240" w:lineRule="atLeast"/>
              <w:rPr>
                <w:rFonts w:ascii="仿宋" w:hAnsi="仿宋" w:eastAsia="仿宋" w:cs="仿宋"/>
                <w:color w:val="000000"/>
                <w:sz w:val="24"/>
                <w:highlight w:val="none"/>
              </w:rPr>
            </w:pPr>
          </w:p>
        </w:tc>
        <w:tc>
          <w:tcPr>
            <w:tcW w:w="3106" w:type="dxa"/>
            <w:gridSpan w:val="2"/>
            <w:vAlign w:val="center"/>
          </w:tcPr>
          <w:p>
            <w:pPr>
              <w:pStyle w:val="22"/>
              <w:spacing w:line="240" w:lineRule="atLeast"/>
              <w:jc w:val="center"/>
              <w:rPr>
                <w:rFonts w:ascii="仿宋" w:hAnsi="仿宋" w:eastAsia="仿宋" w:cs="仿宋"/>
                <w:color w:val="000000"/>
                <w:sz w:val="24"/>
                <w:highlight w:val="none"/>
              </w:rPr>
            </w:pPr>
          </w:p>
        </w:tc>
      </w:tr>
    </w:tbl>
    <w:p>
      <w:pPr>
        <w:pStyle w:val="22"/>
        <w:spacing w:line="240" w:lineRule="atLeast"/>
        <w:ind w:left="1080" w:leftChars="257" w:hanging="540"/>
        <w:rPr>
          <w:rFonts w:ascii="仿宋" w:hAnsi="仿宋" w:eastAsia="仿宋" w:cs="仿宋"/>
          <w:color w:val="000000"/>
          <w:sz w:val="24"/>
          <w:highlight w:val="none"/>
        </w:rPr>
      </w:pPr>
    </w:p>
    <w:p>
      <w:pPr>
        <w:pStyle w:val="22"/>
        <w:spacing w:line="240" w:lineRule="atLeas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投标人授权代表签字</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p>
    <w:p>
      <w:pPr>
        <w:pStyle w:val="22"/>
        <w:spacing w:line="240" w:lineRule="atLeast"/>
        <w:ind w:firstLine="480" w:firstLineChars="200"/>
        <w:rPr>
          <w:rFonts w:ascii="仿宋" w:hAnsi="仿宋" w:eastAsia="仿宋" w:cs="仿宋"/>
          <w:color w:val="000000"/>
          <w:sz w:val="24"/>
          <w:highlight w:val="none"/>
          <w:u w:val="single"/>
        </w:rPr>
      </w:pPr>
      <w:r>
        <w:rPr>
          <w:rFonts w:hint="eastAsia" w:ascii="仿宋" w:hAnsi="仿宋" w:eastAsia="仿宋" w:cs="仿宋"/>
          <w:color w:val="000000"/>
          <w:sz w:val="24"/>
          <w:highlight w:val="none"/>
        </w:rPr>
        <w:t>投标人(盖章):</w:t>
      </w:r>
      <w:r>
        <w:rPr>
          <w:rFonts w:hint="eastAsia" w:ascii="仿宋" w:hAnsi="仿宋" w:eastAsia="仿宋" w:cs="仿宋"/>
          <w:color w:val="000000"/>
          <w:sz w:val="24"/>
          <w:highlight w:val="none"/>
          <w:u w:val="single"/>
        </w:rPr>
        <w:tab/>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rPr>
        <w:tab/>
      </w:r>
    </w:p>
    <w:p>
      <w:pPr>
        <w:pStyle w:val="22"/>
        <w:spacing w:line="240" w:lineRule="atLeast"/>
        <w:ind w:firstLine="480" w:firstLineChars="200"/>
        <w:rPr>
          <w:rFonts w:ascii="仿宋" w:hAnsi="仿宋" w:eastAsia="仿宋" w:cs="仿宋"/>
          <w:color w:val="000000"/>
          <w:sz w:val="24"/>
          <w:highlight w:val="none"/>
        </w:rPr>
      </w:pPr>
    </w:p>
    <w:p>
      <w:pPr>
        <w:pStyle w:val="22"/>
        <w:spacing w:line="240" w:lineRule="atLeas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注:1.如果投标人认为需要，每种服务填写一份该表。</w:t>
      </w:r>
    </w:p>
    <w:p>
      <w:pPr>
        <w:pStyle w:val="22"/>
        <w:spacing w:line="240" w:lineRule="atLeast"/>
        <w:ind w:firstLine="840" w:firstLineChars="350"/>
        <w:rPr>
          <w:rFonts w:ascii="仿宋" w:hAnsi="仿宋" w:eastAsia="仿宋" w:cs="仿宋"/>
          <w:color w:val="000000"/>
          <w:sz w:val="24"/>
          <w:highlight w:val="none"/>
        </w:rPr>
      </w:pPr>
      <w:r>
        <w:rPr>
          <w:rFonts w:hint="eastAsia" w:ascii="仿宋" w:hAnsi="仿宋" w:eastAsia="仿宋" w:cs="仿宋"/>
          <w:color w:val="000000"/>
          <w:sz w:val="24"/>
          <w:highlight w:val="none"/>
        </w:rPr>
        <w:t>2.如果按单价计算的结果与总价不一致,以单价为准修正总价。</w:t>
      </w:r>
    </w:p>
    <w:p>
      <w:pPr>
        <w:pStyle w:val="22"/>
        <w:spacing w:line="240" w:lineRule="atLeast"/>
        <w:ind w:firstLine="840" w:firstLineChars="350"/>
        <w:rPr>
          <w:rFonts w:ascii="仿宋" w:hAnsi="仿宋" w:eastAsia="仿宋" w:cs="仿宋"/>
          <w:color w:val="000000"/>
          <w:sz w:val="24"/>
          <w:highlight w:val="none"/>
        </w:rPr>
      </w:pPr>
      <w:r>
        <w:rPr>
          <w:rFonts w:hint="eastAsia" w:ascii="仿宋" w:hAnsi="仿宋" w:eastAsia="仿宋" w:cs="仿宋"/>
          <w:color w:val="000000"/>
          <w:sz w:val="24"/>
          <w:highlight w:val="none"/>
        </w:rPr>
        <w:t>3.如果不提供详细分项报价将视为没有实质性响应招标文件。</w:t>
      </w:r>
    </w:p>
    <w:p>
      <w:pPr>
        <w:pStyle w:val="22"/>
        <w:spacing w:line="240" w:lineRule="atLeast"/>
        <w:ind w:firstLine="840" w:firstLineChars="350"/>
        <w:rPr>
          <w:rFonts w:ascii="仿宋" w:hAnsi="仿宋" w:eastAsia="仿宋" w:cs="仿宋"/>
          <w:color w:val="000000"/>
          <w:sz w:val="24"/>
          <w:highlight w:val="none"/>
        </w:rPr>
      </w:pPr>
      <w:r>
        <w:rPr>
          <w:rFonts w:hint="eastAsia" w:ascii="仿宋" w:hAnsi="仿宋" w:eastAsia="仿宋" w:cs="仿宋"/>
          <w:color w:val="000000"/>
          <w:sz w:val="24"/>
          <w:highlight w:val="none"/>
        </w:rPr>
        <w:t>4.上述各项的详细分项报价，应另页描述。</w:t>
      </w:r>
    </w:p>
    <w:p>
      <w:pPr>
        <w:pStyle w:val="22"/>
        <w:spacing w:line="240" w:lineRule="atLeast"/>
        <w:ind w:firstLine="840" w:firstLineChars="350"/>
        <w:rPr>
          <w:rFonts w:ascii="仿宋" w:hAnsi="仿宋" w:eastAsia="仿宋" w:cs="仿宋"/>
          <w:color w:val="000000"/>
          <w:sz w:val="24"/>
          <w:highlight w:val="none"/>
        </w:rPr>
      </w:pPr>
      <w:r>
        <w:rPr>
          <w:rFonts w:hint="eastAsia" w:ascii="仿宋" w:hAnsi="仿宋" w:eastAsia="仿宋" w:cs="仿宋"/>
          <w:color w:val="000000"/>
          <w:sz w:val="24"/>
          <w:highlight w:val="none"/>
        </w:rPr>
        <w:t>5.如果开标一览表（报价表）内容与投标文件中明细表内容不一致的，以开标一览表（报价表）内容为准。</w:t>
      </w:r>
    </w:p>
    <w:p>
      <w:pPr>
        <w:pStyle w:val="4"/>
        <w:pageBreakBefore/>
        <w:adjustRightInd/>
        <w:spacing w:before="0" w:line="360" w:lineRule="auto"/>
        <w:jc w:val="both"/>
        <w:rPr>
          <w:rFonts w:ascii="仿宋" w:hAnsi="仿宋" w:eastAsia="仿宋" w:cs="仿宋"/>
          <w:bCs/>
          <w:color w:val="000000"/>
          <w:sz w:val="24"/>
          <w:szCs w:val="24"/>
          <w:highlight w:val="none"/>
        </w:rPr>
        <w:sectPr>
          <w:pgSz w:w="16838" w:h="11906" w:orient="landscape"/>
          <w:pgMar w:top="1797" w:right="1440" w:bottom="1797" w:left="1440" w:header="851" w:footer="850" w:gutter="0"/>
          <w:cols w:space="720" w:num="1"/>
          <w:docGrid w:linePitch="312" w:charSpace="0"/>
        </w:sectPr>
      </w:pPr>
    </w:p>
    <w:bookmarkEnd w:id="196"/>
    <w:bookmarkEnd w:id="197"/>
    <w:bookmarkEnd w:id="198"/>
    <w:p>
      <w:pPr>
        <w:pStyle w:val="4"/>
        <w:spacing w:before="0" w:line="240" w:lineRule="atLeast"/>
        <w:jc w:val="left"/>
        <w:rPr>
          <w:rFonts w:ascii="仿宋" w:hAnsi="仿宋" w:eastAsia="仿宋" w:cs="仿宋"/>
          <w:sz w:val="24"/>
          <w:highlight w:val="none"/>
        </w:rPr>
      </w:pPr>
      <w:r>
        <w:rPr>
          <w:rFonts w:hint="eastAsia" w:ascii="仿宋" w:hAnsi="仿宋" w:eastAsia="仿宋" w:cs="仿宋"/>
          <w:sz w:val="24"/>
          <w:highlight w:val="none"/>
        </w:rPr>
        <w:t>附件4 技术条款偏离表</w:t>
      </w:r>
    </w:p>
    <w:p>
      <w:pPr>
        <w:pStyle w:val="22"/>
        <w:spacing w:line="240" w:lineRule="atLeast"/>
        <w:ind w:left="1080" w:leftChars="257" w:hanging="540"/>
        <w:rPr>
          <w:rFonts w:ascii="仿宋" w:hAnsi="仿宋" w:eastAsia="仿宋" w:cs="仿宋"/>
          <w:sz w:val="24"/>
          <w:highlight w:val="none"/>
        </w:rPr>
      </w:pPr>
    </w:p>
    <w:p>
      <w:pPr>
        <w:pStyle w:val="22"/>
        <w:spacing w:line="240" w:lineRule="atLeast"/>
        <w:rPr>
          <w:rFonts w:ascii="仿宋" w:hAnsi="仿宋" w:eastAsia="仿宋" w:cs="仿宋"/>
          <w:color w:val="000000"/>
          <w:highlight w:val="none"/>
        </w:rPr>
      </w:pPr>
      <w:r>
        <w:rPr>
          <w:rFonts w:hint="eastAsia" w:ascii="仿宋" w:hAnsi="仿宋" w:eastAsia="仿宋" w:cs="仿宋"/>
          <w:color w:val="000000"/>
          <w:highlight w:val="none"/>
        </w:rPr>
        <w:t xml:space="preserve">项目名称:                      项目编号: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948"/>
        <w:gridCol w:w="2407"/>
        <w:gridCol w:w="2407"/>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rPr>
              <w:t>序号</w:t>
            </w:r>
          </w:p>
        </w:tc>
        <w:tc>
          <w:tcPr>
            <w:tcW w:w="1948"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招标</w:t>
            </w:r>
            <w:r>
              <w:rPr>
                <w:rFonts w:hint="eastAsia" w:ascii="仿宋" w:hAnsi="仿宋" w:eastAsia="仿宋" w:cs="仿宋"/>
                <w:color w:val="000000"/>
                <w:highlight w:val="none"/>
              </w:rPr>
              <w:t>文件条款号</w:t>
            </w:r>
          </w:p>
        </w:tc>
        <w:tc>
          <w:tcPr>
            <w:tcW w:w="2407"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招标</w:t>
            </w:r>
            <w:r>
              <w:rPr>
                <w:rFonts w:hint="eastAsia" w:ascii="仿宋" w:hAnsi="仿宋" w:eastAsia="仿宋" w:cs="仿宋"/>
                <w:color w:val="000000"/>
                <w:highlight w:val="none"/>
              </w:rPr>
              <w:t>文件的服务需求</w:t>
            </w:r>
          </w:p>
        </w:tc>
        <w:tc>
          <w:tcPr>
            <w:tcW w:w="2407"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投标</w:t>
            </w:r>
            <w:r>
              <w:rPr>
                <w:rFonts w:hint="eastAsia" w:ascii="仿宋" w:hAnsi="仿宋" w:eastAsia="仿宋" w:cs="仿宋"/>
                <w:color w:val="000000"/>
                <w:highlight w:val="none"/>
              </w:rPr>
              <w:t>文件的服务条款</w:t>
            </w:r>
          </w:p>
        </w:tc>
        <w:tc>
          <w:tcPr>
            <w:tcW w:w="860"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bl>
    <w:p>
      <w:pPr>
        <w:pStyle w:val="22"/>
        <w:spacing w:line="240" w:lineRule="atLeast"/>
        <w:ind w:left="1080" w:leftChars="257" w:hanging="540"/>
        <w:rPr>
          <w:rFonts w:ascii="仿宋" w:hAnsi="仿宋" w:eastAsia="仿宋" w:cs="仿宋"/>
          <w:color w:val="000000"/>
          <w:highlight w:val="none"/>
        </w:rPr>
      </w:pPr>
    </w:p>
    <w:p>
      <w:pPr>
        <w:pStyle w:val="22"/>
        <w:spacing w:line="240" w:lineRule="atLeast"/>
        <w:ind w:left="1080" w:leftChars="257" w:hanging="540"/>
        <w:rPr>
          <w:rFonts w:ascii="仿宋" w:hAnsi="仿宋" w:eastAsia="仿宋" w:cs="仿宋"/>
          <w:color w:val="000000"/>
          <w:highlight w:val="none"/>
        </w:rPr>
      </w:pPr>
    </w:p>
    <w:p>
      <w:pPr>
        <w:pStyle w:val="22"/>
        <w:spacing w:line="240" w:lineRule="atLeast"/>
        <w:ind w:left="1080" w:leftChars="257" w:hanging="540"/>
        <w:rPr>
          <w:rFonts w:ascii="仿宋" w:hAnsi="仿宋" w:eastAsia="仿宋" w:cs="仿宋"/>
          <w:color w:val="000000"/>
          <w:highlight w:val="none"/>
        </w:rPr>
      </w:pPr>
      <w:r>
        <w:rPr>
          <w:rFonts w:hint="eastAsia" w:ascii="仿宋" w:hAnsi="仿宋" w:eastAsia="仿宋" w:cs="仿宋"/>
          <w:color w:val="000000"/>
          <w:highlight w:val="none"/>
        </w:rPr>
        <w:t>投标人授权代表签字：</w:t>
      </w:r>
      <w:r>
        <w:rPr>
          <w:rFonts w:hint="eastAsia" w:ascii="仿宋" w:hAnsi="仿宋" w:eastAsia="仿宋" w:cs="仿宋"/>
          <w:color w:val="000000"/>
          <w:highlight w:val="none"/>
          <w:u w:val="single"/>
        </w:rPr>
        <w:tab/>
      </w:r>
      <w:r>
        <w:rPr>
          <w:rFonts w:hint="eastAsia" w:ascii="仿宋" w:hAnsi="仿宋" w:eastAsia="仿宋" w:cs="仿宋"/>
          <w:color w:val="000000"/>
          <w:highlight w:val="none"/>
          <w:u w:val="single"/>
        </w:rPr>
        <w:t xml:space="preserve">                     </w:t>
      </w:r>
    </w:p>
    <w:p>
      <w:pPr>
        <w:pStyle w:val="22"/>
        <w:tabs>
          <w:tab w:val="left" w:pos="5580"/>
        </w:tabs>
        <w:spacing w:line="240" w:lineRule="atLeast"/>
        <w:ind w:left="1080" w:leftChars="257" w:hanging="540"/>
        <w:rPr>
          <w:rFonts w:ascii="仿宋" w:hAnsi="仿宋" w:eastAsia="仿宋" w:cs="仿宋"/>
          <w:color w:val="000000"/>
          <w:highlight w:val="none"/>
          <w:u w:val="single"/>
        </w:rPr>
      </w:pPr>
      <w:r>
        <w:rPr>
          <w:rFonts w:hint="eastAsia" w:ascii="仿宋" w:hAnsi="仿宋" w:eastAsia="仿宋" w:cs="仿宋"/>
          <w:color w:val="000000"/>
          <w:highlight w:val="none"/>
        </w:rPr>
        <w:t>投标人(盖章):</w:t>
      </w:r>
      <w:r>
        <w:rPr>
          <w:rFonts w:hint="eastAsia" w:ascii="仿宋" w:hAnsi="仿宋" w:eastAsia="仿宋" w:cs="仿宋"/>
          <w:color w:val="000000"/>
          <w:highlight w:val="none"/>
          <w:u w:val="single"/>
        </w:rPr>
        <w:tab/>
      </w:r>
      <w:r>
        <w:rPr>
          <w:rFonts w:hint="eastAsia" w:ascii="仿宋" w:hAnsi="仿宋" w:eastAsia="仿宋" w:cs="仿宋"/>
          <w:color w:val="000000"/>
          <w:highlight w:val="none"/>
          <w:u w:val="single"/>
        </w:rPr>
        <w:tab/>
      </w:r>
    </w:p>
    <w:p>
      <w:pPr>
        <w:pStyle w:val="22"/>
        <w:tabs>
          <w:tab w:val="left" w:pos="5580"/>
        </w:tabs>
        <w:spacing w:line="240" w:lineRule="atLeast"/>
        <w:jc w:val="center"/>
        <w:rPr>
          <w:rFonts w:ascii="仿宋" w:hAnsi="仿宋" w:eastAsia="仿宋" w:cs="仿宋"/>
          <w:color w:val="000000"/>
          <w:highlight w:val="none"/>
          <w:u w:val="single"/>
        </w:rPr>
      </w:pPr>
      <w:r>
        <w:rPr>
          <w:rFonts w:hint="eastAsia" w:ascii="仿宋" w:hAnsi="仿宋" w:eastAsia="仿宋" w:cs="仿宋"/>
          <w:color w:val="000000"/>
          <w:highlight w:val="none"/>
          <w:u w:val="single"/>
        </w:rPr>
        <w:br w:type="page"/>
      </w:r>
    </w:p>
    <w:p>
      <w:pPr>
        <w:pStyle w:val="22"/>
        <w:tabs>
          <w:tab w:val="left" w:pos="5580"/>
        </w:tabs>
        <w:spacing w:line="240" w:lineRule="atLeast"/>
        <w:jc w:val="center"/>
        <w:outlineLvl w:val="1"/>
        <w:rPr>
          <w:rFonts w:ascii="仿宋" w:hAnsi="仿宋" w:eastAsia="仿宋" w:cs="仿宋"/>
          <w:b/>
          <w:color w:val="000000"/>
          <w:highlight w:val="none"/>
        </w:rPr>
      </w:pPr>
      <w:bookmarkStart w:id="199" w:name="_Toc17486"/>
      <w:r>
        <w:rPr>
          <w:rFonts w:hint="eastAsia" w:ascii="仿宋" w:hAnsi="仿宋" w:eastAsia="仿宋" w:cs="仿宋"/>
          <w:b/>
          <w:bCs/>
          <w:sz w:val="32"/>
          <w:szCs w:val="32"/>
          <w:highlight w:val="none"/>
        </w:rPr>
        <w:t xml:space="preserve">  </w:t>
      </w:r>
      <w:bookmarkStart w:id="200" w:name="_Toc27449"/>
      <w:r>
        <w:rPr>
          <w:rFonts w:hint="eastAsia" w:ascii="仿宋" w:hAnsi="仿宋" w:eastAsia="仿宋" w:cs="仿宋"/>
          <w:b/>
          <w:bCs/>
          <w:sz w:val="24"/>
          <w:szCs w:val="24"/>
          <w:highlight w:val="none"/>
        </w:rPr>
        <w:t>商务条款偏离表</w:t>
      </w:r>
      <w:bookmarkEnd w:id="199"/>
      <w:bookmarkEnd w:id="200"/>
    </w:p>
    <w:p>
      <w:pPr>
        <w:pStyle w:val="22"/>
        <w:spacing w:line="240" w:lineRule="atLeast"/>
        <w:ind w:left="1080" w:leftChars="257" w:hanging="540"/>
        <w:rPr>
          <w:rFonts w:ascii="仿宋" w:hAnsi="仿宋" w:eastAsia="仿宋" w:cs="仿宋"/>
          <w:color w:val="000000"/>
          <w:highlight w:val="none"/>
        </w:rPr>
      </w:pPr>
    </w:p>
    <w:p>
      <w:pPr>
        <w:pStyle w:val="22"/>
        <w:spacing w:line="240" w:lineRule="atLeast"/>
        <w:rPr>
          <w:rFonts w:ascii="仿宋" w:hAnsi="仿宋" w:eastAsia="仿宋" w:cs="仿宋"/>
          <w:color w:val="000000"/>
          <w:highlight w:val="none"/>
        </w:rPr>
      </w:pPr>
      <w:r>
        <w:rPr>
          <w:rFonts w:hint="eastAsia" w:ascii="仿宋" w:hAnsi="仿宋" w:eastAsia="仿宋" w:cs="仿宋"/>
          <w:color w:val="000000"/>
          <w:highlight w:val="none"/>
        </w:rPr>
        <w:t xml:space="preserve">项目名称:                      项目编号: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948"/>
        <w:gridCol w:w="2407"/>
        <w:gridCol w:w="2407"/>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rPr>
              <w:t>序号</w:t>
            </w:r>
          </w:p>
        </w:tc>
        <w:tc>
          <w:tcPr>
            <w:tcW w:w="1948"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招标</w:t>
            </w:r>
            <w:r>
              <w:rPr>
                <w:rFonts w:hint="eastAsia" w:ascii="仿宋" w:hAnsi="仿宋" w:eastAsia="仿宋" w:cs="仿宋"/>
                <w:color w:val="000000"/>
                <w:highlight w:val="none"/>
              </w:rPr>
              <w:t>文件条款号</w:t>
            </w:r>
          </w:p>
        </w:tc>
        <w:tc>
          <w:tcPr>
            <w:tcW w:w="2407"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招标</w:t>
            </w:r>
            <w:r>
              <w:rPr>
                <w:rFonts w:hint="eastAsia" w:ascii="仿宋" w:hAnsi="仿宋" w:eastAsia="仿宋" w:cs="仿宋"/>
                <w:color w:val="000000"/>
                <w:highlight w:val="none"/>
              </w:rPr>
              <w:t>文件的商务条款</w:t>
            </w:r>
          </w:p>
        </w:tc>
        <w:tc>
          <w:tcPr>
            <w:tcW w:w="2407"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投标</w:t>
            </w:r>
            <w:r>
              <w:rPr>
                <w:rFonts w:hint="eastAsia" w:ascii="仿宋" w:hAnsi="仿宋" w:eastAsia="仿宋" w:cs="仿宋"/>
                <w:color w:val="000000"/>
                <w:highlight w:val="none"/>
              </w:rPr>
              <w:t>文件的商务条款</w:t>
            </w:r>
          </w:p>
        </w:tc>
        <w:tc>
          <w:tcPr>
            <w:tcW w:w="860" w:type="dxa"/>
            <w:vAlign w:val="center"/>
          </w:tcPr>
          <w:p>
            <w:pPr>
              <w:pStyle w:val="22"/>
              <w:spacing w:line="240" w:lineRule="atLeast"/>
              <w:jc w:val="center"/>
              <w:rPr>
                <w:rFonts w:ascii="仿宋" w:hAnsi="仿宋" w:eastAsia="仿宋" w:cs="仿宋"/>
                <w:color w:val="000000"/>
                <w:highlight w:val="none"/>
              </w:rPr>
            </w:pPr>
            <w:r>
              <w:rPr>
                <w:rFonts w:hint="eastAsia" w:ascii="仿宋" w:hAnsi="仿宋" w:eastAsia="仿宋" w:cs="仿宋"/>
                <w:color w:val="00000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6"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1948"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2407" w:type="dxa"/>
            <w:vAlign w:val="center"/>
          </w:tcPr>
          <w:p>
            <w:pPr>
              <w:pStyle w:val="22"/>
              <w:spacing w:line="240" w:lineRule="atLeast"/>
              <w:ind w:left="1080" w:leftChars="257" w:hanging="540"/>
              <w:jc w:val="center"/>
              <w:rPr>
                <w:rFonts w:ascii="仿宋" w:hAnsi="仿宋" w:eastAsia="仿宋" w:cs="仿宋"/>
                <w:color w:val="000000"/>
                <w:highlight w:val="none"/>
              </w:rPr>
            </w:pPr>
          </w:p>
        </w:tc>
        <w:tc>
          <w:tcPr>
            <w:tcW w:w="860" w:type="dxa"/>
            <w:vAlign w:val="center"/>
          </w:tcPr>
          <w:p>
            <w:pPr>
              <w:pStyle w:val="22"/>
              <w:spacing w:line="240" w:lineRule="atLeast"/>
              <w:ind w:left="1080" w:leftChars="257" w:hanging="540"/>
              <w:jc w:val="center"/>
              <w:rPr>
                <w:rFonts w:ascii="仿宋" w:hAnsi="仿宋" w:eastAsia="仿宋" w:cs="仿宋"/>
                <w:color w:val="000000"/>
                <w:highlight w:val="none"/>
              </w:rPr>
            </w:pPr>
          </w:p>
        </w:tc>
      </w:tr>
    </w:tbl>
    <w:p>
      <w:pPr>
        <w:pStyle w:val="22"/>
        <w:spacing w:line="240" w:lineRule="atLeast"/>
        <w:ind w:left="1080" w:leftChars="257" w:hanging="540"/>
        <w:rPr>
          <w:rFonts w:ascii="仿宋" w:hAnsi="仿宋" w:eastAsia="仿宋" w:cs="仿宋"/>
          <w:color w:val="000000"/>
          <w:highlight w:val="none"/>
        </w:rPr>
      </w:pPr>
    </w:p>
    <w:p>
      <w:pPr>
        <w:pStyle w:val="22"/>
        <w:spacing w:line="240" w:lineRule="atLeast"/>
        <w:ind w:left="1080" w:leftChars="257" w:hanging="540"/>
        <w:rPr>
          <w:rFonts w:ascii="仿宋" w:hAnsi="仿宋" w:eastAsia="仿宋" w:cs="仿宋"/>
          <w:color w:val="000000"/>
          <w:highlight w:val="none"/>
        </w:rPr>
      </w:pPr>
    </w:p>
    <w:p>
      <w:pPr>
        <w:pStyle w:val="22"/>
        <w:spacing w:line="240" w:lineRule="atLeast"/>
        <w:ind w:left="1080" w:leftChars="257" w:hanging="540"/>
        <w:rPr>
          <w:rFonts w:ascii="仿宋" w:hAnsi="仿宋" w:eastAsia="仿宋" w:cs="仿宋"/>
          <w:color w:val="000000"/>
          <w:highlight w:val="none"/>
        </w:rPr>
      </w:pPr>
      <w:r>
        <w:rPr>
          <w:rFonts w:hint="eastAsia" w:ascii="仿宋" w:hAnsi="仿宋" w:eastAsia="仿宋" w:cs="仿宋"/>
          <w:color w:val="000000"/>
          <w:highlight w:val="none"/>
        </w:rPr>
        <w:t>投标人授权代表签字：</w:t>
      </w:r>
      <w:r>
        <w:rPr>
          <w:rFonts w:hint="eastAsia" w:ascii="仿宋" w:hAnsi="仿宋" w:eastAsia="仿宋" w:cs="仿宋"/>
          <w:color w:val="000000"/>
          <w:highlight w:val="none"/>
          <w:u w:val="single"/>
        </w:rPr>
        <w:tab/>
      </w:r>
      <w:r>
        <w:rPr>
          <w:rFonts w:hint="eastAsia" w:ascii="仿宋" w:hAnsi="仿宋" w:eastAsia="仿宋" w:cs="仿宋"/>
          <w:color w:val="000000"/>
          <w:highlight w:val="none"/>
          <w:u w:val="single"/>
        </w:rPr>
        <w:t xml:space="preserve">                        </w:t>
      </w:r>
      <w:r>
        <w:rPr>
          <w:rFonts w:hint="eastAsia" w:ascii="仿宋" w:hAnsi="仿宋" w:eastAsia="仿宋" w:cs="仿宋"/>
          <w:color w:val="000000"/>
          <w:highlight w:val="none"/>
          <w:u w:val="single"/>
        </w:rPr>
        <w:tab/>
      </w:r>
    </w:p>
    <w:p>
      <w:pPr>
        <w:pStyle w:val="22"/>
        <w:spacing w:line="240" w:lineRule="atLeast"/>
        <w:ind w:left="1080" w:leftChars="257" w:hanging="540"/>
        <w:rPr>
          <w:rFonts w:ascii="仿宋" w:hAnsi="仿宋" w:eastAsia="仿宋" w:cs="仿宋"/>
          <w:color w:val="000000"/>
          <w:highlight w:val="none"/>
          <w:u w:val="single"/>
        </w:rPr>
      </w:pPr>
      <w:r>
        <w:rPr>
          <w:rFonts w:hint="eastAsia" w:ascii="仿宋" w:hAnsi="仿宋" w:eastAsia="仿宋" w:cs="仿宋"/>
          <w:color w:val="000000"/>
          <w:highlight w:val="none"/>
        </w:rPr>
        <w:t xml:space="preserve">投标人(盖章):   </w:t>
      </w:r>
      <w:r>
        <w:rPr>
          <w:rFonts w:hint="eastAsia" w:ascii="仿宋" w:hAnsi="仿宋" w:eastAsia="仿宋" w:cs="仿宋"/>
          <w:color w:val="000000"/>
          <w:highlight w:val="none"/>
          <w:u w:val="single"/>
        </w:rPr>
        <w:t xml:space="preserve"> </w:t>
      </w:r>
      <w:r>
        <w:rPr>
          <w:rFonts w:hint="eastAsia" w:ascii="仿宋" w:hAnsi="仿宋" w:eastAsia="仿宋" w:cs="仿宋"/>
          <w:color w:val="000000"/>
          <w:highlight w:val="none"/>
          <w:u w:val="single"/>
        </w:rPr>
        <w:tab/>
      </w:r>
      <w:r>
        <w:rPr>
          <w:rFonts w:hint="eastAsia" w:ascii="仿宋" w:hAnsi="仿宋" w:eastAsia="仿宋" w:cs="仿宋"/>
          <w:color w:val="000000"/>
          <w:highlight w:val="none"/>
          <w:u w:val="single"/>
        </w:rPr>
        <w:t xml:space="preserve">                         </w:t>
      </w:r>
      <w:r>
        <w:rPr>
          <w:rFonts w:hint="eastAsia" w:ascii="仿宋" w:hAnsi="仿宋" w:eastAsia="仿宋" w:cs="仿宋"/>
          <w:color w:val="000000"/>
          <w:highlight w:val="none"/>
          <w:u w:val="single"/>
        </w:rPr>
        <w:tab/>
      </w: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240" w:lineRule="atLeast"/>
        <w:jc w:val="left"/>
        <w:outlineLvl w:val="1"/>
        <w:rPr>
          <w:rFonts w:ascii="仿宋" w:hAnsi="仿宋" w:eastAsia="仿宋" w:cs="仿宋"/>
          <w:b/>
          <w:sz w:val="24"/>
          <w:highlight w:val="none"/>
        </w:rPr>
      </w:pPr>
      <w:bookmarkStart w:id="201" w:name="_Toc11112"/>
      <w:bookmarkStart w:id="202" w:name="_Toc216582818"/>
      <w:bookmarkStart w:id="203" w:name="_Toc27074"/>
      <w:r>
        <w:rPr>
          <w:rFonts w:hint="eastAsia" w:ascii="仿宋" w:hAnsi="仿宋" w:eastAsia="仿宋" w:cs="仿宋"/>
          <w:b/>
          <w:sz w:val="24"/>
          <w:highlight w:val="none"/>
        </w:rPr>
        <w:t xml:space="preserve">附件5  </w:t>
      </w:r>
      <w:bookmarkEnd w:id="201"/>
      <w:bookmarkEnd w:id="202"/>
      <w:bookmarkEnd w:id="203"/>
      <w:r>
        <w:rPr>
          <w:rFonts w:hint="eastAsia" w:ascii="仿宋" w:hAnsi="仿宋" w:eastAsia="仿宋" w:cs="仿宋"/>
          <w:b/>
          <w:sz w:val="24"/>
          <w:highlight w:val="none"/>
        </w:rPr>
        <w:t>投标人认为需要提交的其他商务文件或说明</w:t>
      </w: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spacing w:line="240" w:lineRule="atLeast"/>
        <w:ind w:left="1080" w:leftChars="257" w:hanging="540"/>
        <w:rPr>
          <w:rFonts w:ascii="仿宋" w:hAnsi="仿宋" w:eastAsia="仿宋" w:cs="仿宋"/>
          <w:sz w:val="24"/>
          <w:highlight w:val="none"/>
        </w:rPr>
      </w:pP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日  期：</w:t>
      </w:r>
    </w:p>
    <w:p>
      <w:pPr>
        <w:spacing w:line="360" w:lineRule="auto"/>
        <w:rPr>
          <w:rFonts w:ascii="仿宋" w:hAnsi="仿宋" w:eastAsia="仿宋" w:cs="仿宋"/>
          <w:b/>
          <w:color w:val="000000"/>
          <w:szCs w:val="21"/>
          <w:highlight w:val="none"/>
        </w:rPr>
        <w:sectPr>
          <w:footerReference r:id="rId7" w:type="default"/>
          <w:pgSz w:w="11906" w:h="16838"/>
          <w:pgMar w:top="1440" w:right="1797" w:bottom="1440" w:left="1797" w:header="851" w:footer="850" w:gutter="0"/>
          <w:cols w:space="720" w:num="1"/>
          <w:docGrid w:linePitch="312" w:charSpace="0"/>
        </w:sectPr>
      </w:pPr>
    </w:p>
    <w:p>
      <w:pPr>
        <w:spacing w:line="360" w:lineRule="auto"/>
        <w:rPr>
          <w:rFonts w:ascii="仿宋" w:hAnsi="仿宋" w:eastAsia="仿宋" w:cs="仿宋"/>
          <w:b/>
          <w:color w:val="000000"/>
          <w:sz w:val="24"/>
          <w:highlight w:val="none"/>
        </w:rPr>
      </w:pPr>
      <w:bookmarkStart w:id="204" w:name="_Toc365832049"/>
      <w:bookmarkStart w:id="205" w:name="_Toc13946"/>
      <w:bookmarkStart w:id="206" w:name="_Toc320508855"/>
      <w:r>
        <w:rPr>
          <w:rFonts w:hint="eastAsia" w:ascii="仿宋" w:hAnsi="仿宋" w:eastAsia="仿宋" w:cs="仿宋"/>
          <w:b/>
          <w:color w:val="000000"/>
          <w:sz w:val="24"/>
          <w:highlight w:val="none"/>
        </w:rPr>
        <w:t>附件6 投标保证金</w:t>
      </w:r>
      <w:bookmarkEnd w:id="204"/>
      <w:bookmarkEnd w:id="205"/>
      <w:bookmarkEnd w:id="206"/>
    </w:p>
    <w:p>
      <w:pPr>
        <w:spacing w:line="360" w:lineRule="auto"/>
        <w:ind w:firstLine="480" w:firstLineChars="200"/>
        <w:rPr>
          <w:rFonts w:ascii="仿宋" w:hAnsi="仿宋" w:eastAsia="仿宋" w:cs="仿宋"/>
          <w:color w:val="000000"/>
          <w:sz w:val="24"/>
          <w:highlight w:val="none"/>
        </w:rPr>
      </w:pP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致 ：长春市科胜招标投标代理有限公司</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项目编号：</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1、保证金额（大写）</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元，以保函正本/电汇/转账方式支付。</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2、在投标有效期内，贵公司根据下列事实中的任何一点，即可无条件地扣留保证金。</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1）我方在投标文件递交截止之日后撤销申请；</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2）我方在收到中标通知后，未能按中标通知书规定的时间、地点与采购人签定服务合同；</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3）提供虚假资料。</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3、保证金自投标之日起生效，直到投标有效期后90天或贵方与我方书面协定的延长期后30天内有效。</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4、请贵方于本保证金有效期满后30天内将保证金退回我方。</w:t>
      </w:r>
    </w:p>
    <w:p>
      <w:pPr>
        <w:spacing w:line="360" w:lineRule="auto"/>
        <w:ind w:firstLine="480" w:firstLineChars="200"/>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rPr>
      </w:pP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u w:val="singl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日  期：</w:t>
      </w:r>
    </w:p>
    <w:p>
      <w:pPr>
        <w:pStyle w:val="4"/>
        <w:spacing w:before="0" w:line="360" w:lineRule="auto"/>
        <w:jc w:val="both"/>
        <w:rPr>
          <w:rFonts w:ascii="仿宋" w:hAnsi="仿宋" w:eastAsia="仿宋" w:cs="仿宋"/>
          <w:bCs/>
          <w:color w:val="000000"/>
          <w:sz w:val="24"/>
          <w:szCs w:val="24"/>
          <w:highlight w:val="none"/>
        </w:rPr>
      </w:pPr>
      <w:r>
        <w:rPr>
          <w:rFonts w:hint="eastAsia" w:ascii="仿宋" w:hAnsi="仿宋" w:eastAsia="仿宋" w:cs="仿宋"/>
          <w:b w:val="0"/>
          <w:color w:val="000000"/>
          <w:sz w:val="21"/>
          <w:szCs w:val="21"/>
          <w:highlight w:val="none"/>
        </w:rPr>
        <w:br w:type="page"/>
      </w:r>
      <w:bookmarkStart w:id="207" w:name="_Toc320508856"/>
      <w:bookmarkStart w:id="208" w:name="_Toc3197"/>
      <w:bookmarkStart w:id="209" w:name="_Toc365832050"/>
      <w:r>
        <w:rPr>
          <w:rFonts w:hint="eastAsia" w:ascii="仿宋" w:hAnsi="仿宋" w:eastAsia="仿宋" w:cs="仿宋"/>
          <w:bCs/>
          <w:color w:val="000000"/>
          <w:sz w:val="24"/>
          <w:szCs w:val="24"/>
          <w:highlight w:val="none"/>
        </w:rPr>
        <w:t>附件7 中标服务费承诺书</w:t>
      </w:r>
      <w:bookmarkEnd w:id="207"/>
      <w:bookmarkEnd w:id="208"/>
      <w:bookmarkEnd w:id="209"/>
    </w:p>
    <w:p>
      <w:pPr>
        <w:pStyle w:val="11"/>
        <w:spacing w:line="360" w:lineRule="auto"/>
        <w:rPr>
          <w:rFonts w:ascii="仿宋" w:hAnsi="仿宋" w:eastAsia="仿宋" w:cs="仿宋"/>
          <w:color w:val="000000"/>
          <w:szCs w:val="24"/>
          <w:highlight w:val="none"/>
        </w:rPr>
      </w:pPr>
    </w:p>
    <w:p>
      <w:pPr>
        <w:pStyle w:val="11"/>
        <w:spacing w:line="360" w:lineRule="auto"/>
        <w:ind w:firstLine="0"/>
        <w:jc w:val="center"/>
        <w:rPr>
          <w:rFonts w:ascii="仿宋" w:hAnsi="仿宋" w:eastAsia="仿宋" w:cs="仿宋"/>
          <w:b/>
          <w:color w:val="000000"/>
          <w:szCs w:val="24"/>
          <w:highlight w:val="none"/>
        </w:rPr>
      </w:pPr>
      <w:r>
        <w:rPr>
          <w:rFonts w:hint="eastAsia" w:ascii="仿宋" w:hAnsi="仿宋" w:eastAsia="仿宋" w:cs="仿宋"/>
          <w:b/>
          <w:color w:val="000000"/>
          <w:szCs w:val="24"/>
          <w:highlight w:val="none"/>
        </w:rPr>
        <w:t>中标服务费承诺书</w:t>
      </w:r>
    </w:p>
    <w:p>
      <w:pPr>
        <w:pStyle w:val="11"/>
        <w:spacing w:line="360" w:lineRule="auto"/>
        <w:jc w:val="both"/>
        <w:rPr>
          <w:rFonts w:ascii="仿宋" w:hAnsi="仿宋" w:eastAsia="仿宋" w:cs="仿宋"/>
          <w:b/>
          <w:color w:val="000000"/>
          <w:szCs w:val="24"/>
          <w:highlight w:val="none"/>
        </w:rPr>
      </w:pPr>
    </w:p>
    <w:p>
      <w:pPr>
        <w:pStyle w:val="22"/>
        <w:spacing w:line="360" w:lineRule="auto"/>
        <w:ind w:firstLine="5760" w:firstLineChars="24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ab/>
      </w:r>
      <w:r>
        <w:rPr>
          <w:rFonts w:hint="eastAsia" w:ascii="仿宋" w:hAnsi="仿宋" w:eastAsia="仿宋" w:cs="仿宋"/>
          <w:color w:val="000000"/>
          <w:sz w:val="24"/>
          <w:szCs w:val="24"/>
          <w:highlight w:val="none"/>
        </w:rPr>
        <w:tab/>
      </w:r>
    </w:p>
    <w:p>
      <w:pPr>
        <w:pStyle w:val="22"/>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致：长春市科胜招标投标代理有限公司：</w:t>
      </w:r>
    </w:p>
    <w:p>
      <w:pPr>
        <w:pStyle w:val="22"/>
        <w:tabs>
          <w:tab w:val="left" w:pos="5580"/>
        </w:tabs>
        <w:spacing w:before="120" w:line="360" w:lineRule="auto"/>
        <w:rPr>
          <w:rFonts w:ascii="仿宋" w:hAnsi="仿宋" w:eastAsia="仿宋" w:cs="仿宋"/>
          <w:color w:val="000000"/>
          <w:sz w:val="24"/>
          <w:szCs w:val="24"/>
          <w:highlight w:val="none"/>
        </w:rPr>
      </w:pP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我们在贵公司组织的</w:t>
      </w:r>
      <w:r>
        <w:rPr>
          <w:rFonts w:hint="eastAsia" w:ascii="仿宋" w:hAnsi="仿宋" w:eastAsia="仿宋" w:cs="仿宋"/>
          <w:color w:val="000000"/>
          <w:sz w:val="24"/>
          <w:szCs w:val="24"/>
          <w:highlight w:val="none"/>
          <w:u w:val="single"/>
        </w:rPr>
        <w:tab/>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rPr>
        <w:tab/>
      </w:r>
      <w:r>
        <w:rPr>
          <w:rFonts w:hint="eastAsia" w:ascii="仿宋" w:hAnsi="仿宋" w:eastAsia="仿宋" w:cs="仿宋"/>
          <w:color w:val="000000"/>
          <w:sz w:val="24"/>
          <w:szCs w:val="24"/>
          <w:highlight w:val="none"/>
        </w:rPr>
        <w:t>项目招标中若获中标（招标文件编号：</w:t>
      </w:r>
      <w:r>
        <w:rPr>
          <w:rFonts w:hint="eastAsia" w:ascii="仿宋" w:hAnsi="仿宋" w:eastAsia="仿宋" w:cs="仿宋"/>
          <w:color w:val="000000"/>
          <w:sz w:val="24"/>
          <w:szCs w:val="24"/>
          <w:highlight w:val="none"/>
          <w:u w:val="single"/>
        </w:rPr>
        <w:tab/>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rPr>
        <w:tab/>
      </w:r>
      <w:r>
        <w:rPr>
          <w:rFonts w:hint="eastAsia" w:ascii="仿宋" w:hAnsi="仿宋" w:eastAsia="仿宋" w:cs="仿宋"/>
          <w:color w:val="000000"/>
          <w:sz w:val="24"/>
          <w:szCs w:val="24"/>
          <w:highlight w:val="none"/>
        </w:rPr>
        <w:t>），我们保证在签定服务合同的同时按招标文件的规定，以</w:t>
      </w:r>
      <w:r>
        <w:rPr>
          <w:rFonts w:hint="eastAsia" w:ascii="仿宋" w:hAnsi="仿宋" w:eastAsia="仿宋" w:cs="仿宋"/>
          <w:color w:val="000000"/>
          <w:sz w:val="24"/>
          <w:highlight w:val="none"/>
        </w:rPr>
        <w:t>现金或电汇等</w:t>
      </w:r>
      <w:r>
        <w:rPr>
          <w:rFonts w:hint="eastAsia" w:ascii="仿宋" w:hAnsi="仿宋" w:eastAsia="仿宋" w:cs="仿宋"/>
          <w:color w:val="000000"/>
          <w:sz w:val="24"/>
          <w:szCs w:val="24"/>
          <w:highlight w:val="none"/>
        </w:rPr>
        <w:t>方式向贵公司一次性支付应该交纳的中标服务费用。</w:t>
      </w:r>
    </w:p>
    <w:p>
      <w:pPr>
        <w:pStyle w:val="22"/>
        <w:tabs>
          <w:tab w:val="left" w:pos="5580"/>
        </w:tabs>
        <w:spacing w:line="360" w:lineRule="auto"/>
        <w:ind w:firstLine="480" w:firstLineChars="200"/>
        <w:rPr>
          <w:rFonts w:ascii="仿宋" w:hAnsi="仿宋" w:eastAsia="仿宋" w:cs="仿宋"/>
          <w:color w:val="000000"/>
          <w:sz w:val="24"/>
          <w:szCs w:val="24"/>
          <w:highlight w:val="none"/>
        </w:rPr>
      </w:pP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特此承诺！</w:t>
      </w:r>
    </w:p>
    <w:p>
      <w:pPr>
        <w:pStyle w:val="22"/>
        <w:tabs>
          <w:tab w:val="left" w:pos="5580"/>
        </w:tabs>
        <w:spacing w:before="120" w:line="360" w:lineRule="auto"/>
        <w:ind w:firstLine="480" w:firstLineChars="200"/>
        <w:rPr>
          <w:rFonts w:ascii="仿宋" w:hAnsi="仿宋" w:eastAsia="仿宋" w:cs="仿宋"/>
          <w:color w:val="000000"/>
          <w:sz w:val="24"/>
          <w:szCs w:val="24"/>
          <w:highlight w:val="none"/>
        </w:rPr>
      </w:pP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投标单位名称（盖章）：</w:t>
      </w: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授权代表（签字）：</w:t>
      </w: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地址：</w:t>
      </w: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邮编：</w:t>
      </w: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电话：</w:t>
      </w:r>
    </w:p>
    <w:p>
      <w:pPr>
        <w:pStyle w:val="22"/>
        <w:spacing w:line="360" w:lineRule="auto"/>
        <w:ind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日期：</w:t>
      </w:r>
    </w:p>
    <w:p>
      <w:pPr>
        <w:pStyle w:val="4"/>
        <w:spacing w:before="0" w:line="360" w:lineRule="auto"/>
        <w:jc w:val="both"/>
        <w:rPr>
          <w:rFonts w:ascii="仿宋" w:hAnsi="仿宋" w:eastAsia="仿宋" w:cs="仿宋"/>
          <w:bCs/>
          <w:color w:val="000000"/>
          <w:sz w:val="24"/>
          <w:szCs w:val="24"/>
          <w:highlight w:val="none"/>
        </w:rPr>
      </w:pPr>
      <w:r>
        <w:rPr>
          <w:rFonts w:hint="eastAsia" w:ascii="仿宋" w:hAnsi="仿宋" w:eastAsia="仿宋" w:cs="仿宋"/>
          <w:b w:val="0"/>
          <w:color w:val="000000"/>
          <w:sz w:val="24"/>
          <w:szCs w:val="24"/>
          <w:highlight w:val="none"/>
        </w:rPr>
        <w:br w:type="page"/>
      </w:r>
      <w:bookmarkStart w:id="210" w:name="_Toc365832051"/>
      <w:bookmarkStart w:id="211" w:name="_Toc320508857"/>
      <w:bookmarkStart w:id="212" w:name="_Toc17855"/>
      <w:r>
        <w:rPr>
          <w:rFonts w:hint="eastAsia" w:ascii="仿宋" w:hAnsi="仿宋" w:eastAsia="仿宋" w:cs="仿宋"/>
          <w:bCs/>
          <w:color w:val="000000"/>
          <w:sz w:val="24"/>
          <w:szCs w:val="24"/>
          <w:highlight w:val="none"/>
        </w:rPr>
        <w:t>附件8 资格证明文件</w:t>
      </w:r>
      <w:bookmarkEnd w:id="210"/>
      <w:bookmarkEnd w:id="211"/>
      <w:bookmarkEnd w:id="212"/>
    </w:p>
    <w:p>
      <w:pPr>
        <w:pStyle w:val="4"/>
        <w:spacing w:before="0" w:line="360" w:lineRule="auto"/>
        <w:jc w:val="both"/>
        <w:rPr>
          <w:rFonts w:ascii="仿宋" w:hAnsi="仿宋" w:eastAsia="仿宋" w:cs="仿宋"/>
          <w:bCs/>
          <w:color w:val="000000"/>
          <w:sz w:val="24"/>
          <w:szCs w:val="24"/>
          <w:highlight w:val="none"/>
        </w:rPr>
      </w:pPr>
      <w:bookmarkStart w:id="213" w:name="_Toc320508858"/>
      <w:bookmarkStart w:id="214" w:name="_Toc8838"/>
      <w:bookmarkStart w:id="215" w:name="_Toc365832052"/>
      <w:r>
        <w:rPr>
          <w:rFonts w:hint="eastAsia" w:ascii="仿宋" w:hAnsi="仿宋" w:eastAsia="仿宋" w:cs="仿宋"/>
          <w:bCs/>
          <w:color w:val="000000"/>
          <w:sz w:val="24"/>
          <w:szCs w:val="24"/>
          <w:highlight w:val="none"/>
        </w:rPr>
        <w:t>附件8.1 法定代表人授权书</w:t>
      </w:r>
      <w:bookmarkEnd w:id="213"/>
      <w:bookmarkEnd w:id="214"/>
      <w:bookmarkEnd w:id="215"/>
    </w:p>
    <w:p>
      <w:pPr>
        <w:pStyle w:val="11"/>
        <w:spacing w:line="360" w:lineRule="auto"/>
        <w:rPr>
          <w:rFonts w:ascii="仿宋" w:hAnsi="仿宋" w:eastAsia="仿宋" w:cs="仿宋"/>
          <w:color w:val="000000"/>
          <w:szCs w:val="24"/>
          <w:highlight w:val="none"/>
        </w:rPr>
      </w:pPr>
    </w:p>
    <w:p>
      <w:pPr>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（如法定代表人亲自签字参加投标，则不需此文件，须提供法定代表人身份证复印件）</w:t>
      </w:r>
    </w:p>
    <w:p>
      <w:pPr>
        <w:spacing w:line="360" w:lineRule="auto"/>
        <w:rPr>
          <w:rFonts w:ascii="仿宋" w:hAnsi="仿宋" w:eastAsia="仿宋" w:cs="仿宋"/>
          <w:color w:val="000000"/>
          <w:sz w:val="24"/>
          <w:highlight w:val="none"/>
        </w:rPr>
      </w:pPr>
    </w:p>
    <w:p>
      <w:pPr>
        <w:pStyle w:val="22"/>
        <w:spacing w:line="360" w:lineRule="auto"/>
        <w:jc w:val="center"/>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法定代表人授权书</w:t>
      </w:r>
    </w:p>
    <w:p>
      <w:pPr>
        <w:spacing w:line="360" w:lineRule="auto"/>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u w:val="single"/>
        </w:rPr>
      </w:pPr>
      <w:r>
        <w:rPr>
          <w:rFonts w:hint="eastAsia" w:ascii="仿宋" w:hAnsi="仿宋" w:eastAsia="仿宋" w:cs="仿宋"/>
          <w:color w:val="000000"/>
          <w:sz w:val="24"/>
          <w:highlight w:val="none"/>
          <w:u w:val="single"/>
        </w:rPr>
        <w:t>长春市科胜招标投标代理有限公司：</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（投标人单位名称）的法定代表人</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授权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u w:val="single"/>
        </w:rPr>
        <w:t>授权代表姓名</w:t>
      </w:r>
      <w:r>
        <w:rPr>
          <w:rFonts w:hint="eastAsia" w:ascii="仿宋" w:hAnsi="仿宋" w:eastAsia="仿宋" w:cs="仿宋"/>
          <w:color w:val="000000"/>
          <w:sz w:val="24"/>
          <w:highlight w:val="none"/>
        </w:rPr>
        <w:t>）为授权代表，参加贵处组织的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项目（项目编号：</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）投标活动，全权处理投标活动中的一切事宜。</w:t>
      </w:r>
    </w:p>
    <w:p>
      <w:pPr>
        <w:spacing w:line="360" w:lineRule="auto"/>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附：法定代表人身份证和被授权人身份证复印件。</w:t>
      </w:r>
    </w:p>
    <w:p>
      <w:pPr>
        <w:spacing w:line="360" w:lineRule="auto"/>
        <w:ind w:firstLine="480" w:firstLineChars="200"/>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法定代表人签字：</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投标人单位名称（加盖公章）</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日期</w:t>
      </w:r>
    </w:p>
    <w:p>
      <w:pPr>
        <w:spacing w:line="360" w:lineRule="auto"/>
        <w:ind w:firstLine="480" w:firstLineChars="200"/>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rPr>
      </w:pP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授权代表签字：</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职务：</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详细通讯地址：</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邮政编码：</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电话：</w:t>
      </w:r>
    </w:p>
    <w:p>
      <w:pPr>
        <w:spacing w:line="360" w:lineRule="auto"/>
        <w:rPr>
          <w:rFonts w:ascii="仿宋" w:hAnsi="仿宋" w:eastAsia="仿宋" w:cs="仿宋"/>
          <w:color w:val="000000"/>
          <w:szCs w:val="21"/>
          <w:highlight w:val="none"/>
        </w:rPr>
      </w:pPr>
    </w:p>
    <w:p>
      <w:pPr>
        <w:spacing w:line="360" w:lineRule="auto"/>
        <w:rPr>
          <w:rFonts w:ascii="仿宋" w:hAnsi="仿宋" w:eastAsia="仿宋" w:cs="仿宋"/>
          <w:color w:val="000000"/>
          <w:szCs w:val="21"/>
          <w:highlight w:val="none"/>
        </w:rPr>
      </w:pPr>
    </w:p>
    <w:p>
      <w:pPr>
        <w:spacing w:line="360" w:lineRule="auto"/>
        <w:rPr>
          <w:rFonts w:ascii="仿宋" w:hAnsi="仿宋" w:eastAsia="仿宋" w:cs="仿宋"/>
          <w:color w:val="000000"/>
          <w:szCs w:val="21"/>
          <w:highlight w:val="none"/>
        </w:rPr>
      </w:pPr>
    </w:p>
    <w:p>
      <w:pPr>
        <w:spacing w:line="360" w:lineRule="auto"/>
        <w:rPr>
          <w:rFonts w:ascii="仿宋" w:hAnsi="仿宋" w:eastAsia="仿宋" w:cs="仿宋"/>
          <w:color w:val="000000"/>
          <w:szCs w:val="21"/>
          <w:highlight w:val="none"/>
        </w:rPr>
      </w:pPr>
    </w:p>
    <w:p>
      <w:pPr>
        <w:pStyle w:val="4"/>
        <w:keepNext w:val="0"/>
        <w:pageBreakBefore/>
        <w:adjustRightInd/>
        <w:spacing w:before="0" w:line="360" w:lineRule="auto"/>
        <w:jc w:val="both"/>
        <w:rPr>
          <w:rFonts w:ascii="仿宋" w:hAnsi="仿宋" w:eastAsia="仿宋" w:cs="仿宋"/>
          <w:bCs/>
          <w:color w:val="000000"/>
          <w:sz w:val="24"/>
          <w:szCs w:val="24"/>
          <w:highlight w:val="none"/>
        </w:rPr>
      </w:pPr>
      <w:bookmarkStart w:id="216" w:name="_Toc365832053"/>
      <w:bookmarkStart w:id="217" w:name="_Toc320508859"/>
      <w:bookmarkStart w:id="218" w:name="_Toc829"/>
      <w:r>
        <w:rPr>
          <w:rFonts w:hint="eastAsia" w:ascii="仿宋" w:hAnsi="仿宋" w:eastAsia="仿宋" w:cs="仿宋"/>
          <w:bCs/>
          <w:color w:val="000000"/>
          <w:sz w:val="24"/>
          <w:szCs w:val="24"/>
          <w:highlight w:val="none"/>
        </w:rPr>
        <w:t>附件8.2 营业执照</w:t>
      </w:r>
      <w:bookmarkEnd w:id="216"/>
      <w:bookmarkEnd w:id="217"/>
      <w:bookmarkEnd w:id="218"/>
    </w:p>
    <w:p>
      <w:pPr>
        <w:spacing w:line="360" w:lineRule="auto"/>
        <w:rPr>
          <w:rFonts w:ascii="仿宋" w:hAnsi="仿宋" w:eastAsia="仿宋" w:cs="仿宋"/>
          <w:color w:val="000000"/>
          <w:sz w:val="24"/>
          <w:highlight w:val="none"/>
        </w:rPr>
      </w:pPr>
    </w:p>
    <w:p>
      <w:pPr>
        <w:pStyle w:val="22"/>
        <w:spacing w:line="360" w:lineRule="auto"/>
        <w:jc w:val="center"/>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营业执照</w:t>
      </w:r>
    </w:p>
    <w:p>
      <w:pPr>
        <w:pStyle w:val="22"/>
        <w:spacing w:line="360" w:lineRule="auto"/>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（复印件加盖单位公章）</w:t>
      </w:r>
    </w:p>
    <w:p>
      <w:pPr>
        <w:spacing w:line="360" w:lineRule="auto"/>
        <w:jc w:val="center"/>
        <w:rPr>
          <w:rFonts w:ascii="仿宋" w:hAnsi="仿宋" w:eastAsia="仿宋" w:cs="仿宋"/>
          <w:color w:val="000000"/>
          <w:sz w:val="24"/>
          <w:highlight w:val="none"/>
        </w:rPr>
      </w:pPr>
    </w:p>
    <w:p>
      <w:pPr>
        <w:pStyle w:val="4"/>
        <w:keepNext w:val="0"/>
        <w:pageBreakBefore/>
        <w:spacing w:before="0" w:line="360" w:lineRule="auto"/>
        <w:jc w:val="both"/>
        <w:rPr>
          <w:rFonts w:ascii="仿宋" w:hAnsi="仿宋" w:eastAsia="仿宋" w:cs="仿宋"/>
          <w:bCs/>
          <w:color w:val="000000"/>
          <w:sz w:val="24"/>
          <w:szCs w:val="24"/>
          <w:highlight w:val="none"/>
        </w:rPr>
      </w:pPr>
      <w:bookmarkStart w:id="219" w:name="_Toc320508862"/>
      <w:bookmarkStart w:id="220" w:name="_Toc365832056"/>
      <w:bookmarkStart w:id="221" w:name="_Toc9356"/>
      <w:r>
        <w:rPr>
          <w:rFonts w:hint="eastAsia" w:ascii="仿宋" w:hAnsi="仿宋" w:eastAsia="仿宋" w:cs="仿宋"/>
          <w:bCs/>
          <w:color w:val="000000"/>
          <w:sz w:val="24"/>
          <w:szCs w:val="24"/>
          <w:highlight w:val="none"/>
        </w:rPr>
        <w:t>附件8.3 资质证书</w:t>
      </w:r>
    </w:p>
    <w:p>
      <w:pPr>
        <w:rPr>
          <w:rFonts w:ascii="仿宋" w:hAnsi="仿宋" w:eastAsia="仿宋" w:cs="仿宋"/>
          <w:bCs/>
          <w:color w:val="000000"/>
          <w:sz w:val="24"/>
          <w:highlight w:val="none"/>
        </w:rPr>
      </w:pPr>
    </w:p>
    <w:p>
      <w:pPr>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供应商应具备人力资源和社会保障部门颁发的《劳务派遣经营许可证》和《人力资源服务许可证》，并具备相应的专业队伍、经验、技术和装备。</w:t>
      </w:r>
    </w:p>
    <w:p>
      <w:pPr>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（复印件加盖单位公章）</w:t>
      </w:r>
    </w:p>
    <w:p>
      <w:pPr>
        <w:pStyle w:val="81"/>
        <w:rPr>
          <w:highlight w:val="none"/>
        </w:rPr>
      </w:pPr>
    </w:p>
    <w:p>
      <w:pPr>
        <w:pStyle w:val="4"/>
        <w:keepNext w:val="0"/>
        <w:pageBreakBefore/>
        <w:spacing w:before="0" w:line="360" w:lineRule="auto"/>
        <w:jc w:val="both"/>
        <w:rPr>
          <w:rFonts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附件8.4 投标人资格声明</w:t>
      </w:r>
      <w:bookmarkEnd w:id="219"/>
      <w:bookmarkEnd w:id="220"/>
      <w:bookmarkEnd w:id="221"/>
    </w:p>
    <w:p>
      <w:pPr>
        <w:pStyle w:val="22"/>
        <w:spacing w:line="360" w:lineRule="auto"/>
        <w:jc w:val="center"/>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投标人资格声明</w:t>
      </w:r>
    </w:p>
    <w:p>
      <w:pPr>
        <w:pStyle w:val="19"/>
        <w:spacing w:after="0" w:line="360" w:lineRule="auto"/>
        <w:ind w:left="0" w:leftChars="0" w:firstLine="480" w:firstLineChars="200"/>
        <w:rPr>
          <w:rFonts w:ascii="仿宋" w:hAnsi="仿宋" w:eastAsia="仿宋" w:cs="仿宋"/>
          <w:color w:val="000000"/>
          <w:szCs w:val="24"/>
          <w:highlight w:val="none"/>
        </w:rPr>
      </w:pPr>
      <w:r>
        <w:rPr>
          <w:rFonts w:hint="eastAsia" w:ascii="仿宋" w:hAnsi="仿宋" w:eastAsia="仿宋" w:cs="仿宋"/>
          <w:color w:val="000000"/>
          <w:szCs w:val="24"/>
          <w:highlight w:val="none"/>
        </w:rPr>
        <w:t>1、基本情况：</w:t>
      </w:r>
    </w:p>
    <w:p>
      <w:pPr>
        <w:pStyle w:val="19"/>
        <w:spacing w:after="0" w:line="360" w:lineRule="auto"/>
        <w:ind w:left="0" w:leftChars="0" w:firstLine="480" w:firstLineChars="200"/>
        <w:rPr>
          <w:rFonts w:ascii="仿宋" w:hAnsi="仿宋" w:eastAsia="仿宋" w:cs="仿宋"/>
          <w:color w:val="000000"/>
          <w:szCs w:val="24"/>
          <w:highlight w:val="none"/>
        </w:rPr>
      </w:pPr>
      <w:r>
        <w:rPr>
          <w:rFonts w:hint="eastAsia" w:ascii="仿宋" w:hAnsi="仿宋" w:eastAsia="仿宋" w:cs="仿宋"/>
          <w:color w:val="000000"/>
          <w:szCs w:val="24"/>
          <w:highlight w:val="none"/>
        </w:rPr>
        <w:t xml:space="preserve">（1）投标人名称：                            </w:t>
      </w:r>
    </w:p>
    <w:p>
      <w:pPr>
        <w:tabs>
          <w:tab w:val="left" w:pos="4320"/>
        </w:tabs>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（2）地址：</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ab/>
      </w:r>
      <w:r>
        <w:rPr>
          <w:rFonts w:hint="eastAsia" w:ascii="仿宋" w:hAnsi="仿宋" w:eastAsia="仿宋" w:cs="仿宋"/>
          <w:color w:val="000000"/>
          <w:sz w:val="24"/>
          <w:highlight w:val="none"/>
        </w:rPr>
        <w:t>邮编：</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tabs>
          <w:tab w:val="left" w:pos="600"/>
          <w:tab w:val="left" w:pos="4320"/>
        </w:tabs>
        <w:spacing w:line="360" w:lineRule="auto"/>
        <w:ind w:firstLine="1120" w:firstLineChars="467"/>
        <w:rPr>
          <w:rFonts w:ascii="仿宋" w:hAnsi="仿宋" w:eastAsia="仿宋" w:cs="仿宋"/>
          <w:color w:val="000000"/>
          <w:sz w:val="24"/>
          <w:highlight w:val="none"/>
        </w:rPr>
      </w:pPr>
      <w:r>
        <w:rPr>
          <w:rFonts w:hint="eastAsia" w:ascii="仿宋" w:hAnsi="仿宋" w:eastAsia="仿宋" w:cs="仿宋"/>
          <w:color w:val="000000"/>
          <w:sz w:val="24"/>
          <w:highlight w:val="none"/>
        </w:rPr>
        <w:t>电话：</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传真：</w:t>
      </w:r>
      <w:r>
        <w:rPr>
          <w:rFonts w:hint="eastAsia" w:ascii="仿宋" w:hAnsi="仿宋" w:eastAsia="仿宋" w:cs="仿宋"/>
          <w:color w:val="000000"/>
          <w:sz w:val="24"/>
          <w:highlight w:val="none"/>
          <w:u w:val="singl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（3）成立和/或注册日期：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（4）企业性质：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（5）法定代表人：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（6）注册资本：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w:t>
      </w:r>
    </w:p>
    <w:p>
      <w:pPr>
        <w:pStyle w:val="16"/>
        <w:spacing w:after="0"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2、企业基本情况介绍（限于1500字内）</w:t>
      </w:r>
    </w:p>
    <w:p>
      <w:pPr>
        <w:pStyle w:val="16"/>
        <w:spacing w:after="0"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3、2019、2020、2021年营业收入情况</w:t>
      </w:r>
    </w:p>
    <w:p>
      <w:pPr>
        <w:pStyle w:val="16"/>
        <w:spacing w:after="0" w:line="360" w:lineRule="auto"/>
        <w:ind w:firstLine="480" w:firstLineChars="200"/>
        <w:rPr>
          <w:rFonts w:ascii="仿宋" w:hAnsi="仿宋" w:eastAsia="仿宋" w:cs="仿宋"/>
          <w:color w:val="000000"/>
          <w:sz w:val="24"/>
          <w:highlight w:val="none"/>
        </w:rPr>
      </w:pPr>
    </w:p>
    <w:p>
      <w:pPr>
        <w:pStyle w:val="16"/>
        <w:spacing w:after="0"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兹证明上述声明是真实的、正确的，并提供了全部能提供的资料和数据，我们同意遵照贵方要求出示有关证明文件。</w:t>
      </w:r>
    </w:p>
    <w:p>
      <w:pPr>
        <w:pStyle w:val="18"/>
        <w:spacing w:line="360" w:lineRule="auto"/>
        <w:ind w:left="900" w:hanging="480"/>
        <w:rPr>
          <w:rFonts w:ascii="仿宋" w:hAnsi="仿宋" w:eastAsia="仿宋" w:cs="仿宋"/>
          <w:color w:val="000000"/>
          <w:szCs w:val="24"/>
          <w:highlight w:val="none"/>
        </w:rPr>
      </w:pPr>
    </w:p>
    <w:p>
      <w:pPr>
        <w:pStyle w:val="18"/>
        <w:spacing w:line="360" w:lineRule="auto"/>
        <w:ind w:left="900" w:hanging="480"/>
        <w:rPr>
          <w:rFonts w:ascii="仿宋" w:hAnsi="仿宋" w:eastAsia="仿宋" w:cs="仿宋"/>
          <w:color w:val="000000"/>
          <w:szCs w:val="24"/>
          <w:highlight w:val="none"/>
        </w:rPr>
      </w:pPr>
    </w:p>
    <w:p>
      <w:pPr>
        <w:pStyle w:val="18"/>
        <w:spacing w:line="360" w:lineRule="auto"/>
        <w:ind w:left="900" w:hanging="480"/>
        <w:rPr>
          <w:rFonts w:ascii="仿宋" w:hAnsi="仿宋" w:eastAsia="仿宋" w:cs="仿宋"/>
          <w:color w:val="000000"/>
          <w:szCs w:val="24"/>
          <w:highlight w:val="none"/>
        </w:rPr>
      </w:pPr>
      <w:r>
        <w:rPr>
          <w:rFonts w:hint="eastAsia" w:ascii="仿宋" w:hAnsi="仿宋" w:eastAsia="仿宋" w:cs="仿宋"/>
          <w:color w:val="000000"/>
          <w:szCs w:val="24"/>
          <w:highlight w:val="none"/>
        </w:rPr>
        <w:t xml:space="preserve">投标人公章：                         </w:t>
      </w:r>
    </w:p>
    <w:p>
      <w:pPr>
        <w:pStyle w:val="18"/>
        <w:spacing w:line="360" w:lineRule="auto"/>
        <w:ind w:left="900" w:hanging="480"/>
        <w:rPr>
          <w:rFonts w:ascii="仿宋" w:hAnsi="仿宋" w:eastAsia="仿宋" w:cs="仿宋"/>
          <w:color w:val="000000"/>
          <w:szCs w:val="24"/>
          <w:highlight w:val="none"/>
        </w:rPr>
      </w:pPr>
    </w:p>
    <w:p>
      <w:pPr>
        <w:pStyle w:val="18"/>
        <w:spacing w:line="360" w:lineRule="auto"/>
        <w:ind w:left="900" w:hanging="480"/>
        <w:rPr>
          <w:rFonts w:ascii="仿宋" w:hAnsi="仿宋" w:eastAsia="仿宋" w:cs="仿宋"/>
          <w:color w:val="000000"/>
          <w:szCs w:val="24"/>
          <w:highlight w:val="none"/>
        </w:rPr>
      </w:pPr>
      <w:r>
        <w:rPr>
          <w:rFonts w:hint="eastAsia" w:ascii="仿宋" w:hAnsi="仿宋" w:eastAsia="仿宋" w:cs="仿宋"/>
          <w:color w:val="000000"/>
          <w:szCs w:val="24"/>
          <w:highlight w:val="none"/>
        </w:rPr>
        <w:t xml:space="preserve">投标人代表签字：                          </w:t>
      </w:r>
    </w:p>
    <w:p>
      <w:pPr>
        <w:pStyle w:val="18"/>
        <w:spacing w:line="360" w:lineRule="auto"/>
        <w:ind w:left="900" w:hanging="480"/>
        <w:rPr>
          <w:rFonts w:ascii="仿宋" w:hAnsi="仿宋" w:eastAsia="仿宋" w:cs="仿宋"/>
          <w:color w:val="000000"/>
          <w:szCs w:val="24"/>
          <w:highlight w:val="none"/>
        </w:rPr>
      </w:pPr>
    </w:p>
    <w:p>
      <w:pPr>
        <w:pStyle w:val="18"/>
        <w:spacing w:line="360" w:lineRule="auto"/>
        <w:ind w:left="900" w:hanging="480"/>
        <w:rPr>
          <w:rFonts w:ascii="仿宋" w:hAnsi="仿宋" w:eastAsia="仿宋" w:cs="仿宋"/>
          <w:color w:val="000000"/>
          <w:szCs w:val="24"/>
          <w:highlight w:val="none"/>
        </w:rPr>
        <w:sectPr>
          <w:pgSz w:w="11906" w:h="16838"/>
          <w:pgMar w:top="1440" w:right="1797" w:bottom="1440" w:left="1797" w:header="851" w:footer="850" w:gutter="0"/>
          <w:cols w:space="720" w:num="1"/>
          <w:docGrid w:linePitch="312" w:charSpace="0"/>
        </w:sectPr>
      </w:pPr>
      <w:r>
        <w:rPr>
          <w:rFonts w:hint="eastAsia" w:ascii="仿宋" w:hAnsi="仿宋" w:eastAsia="仿宋" w:cs="仿宋"/>
          <w:color w:val="000000"/>
          <w:szCs w:val="24"/>
          <w:highlight w:val="none"/>
        </w:rPr>
        <w:t>日期：</w:t>
      </w:r>
      <w:r>
        <w:rPr>
          <w:rFonts w:hint="eastAsia" w:ascii="仿宋" w:hAnsi="仿宋" w:eastAsia="仿宋" w:cs="仿宋"/>
          <w:color w:val="000000"/>
          <w:szCs w:val="24"/>
          <w:highlight w:val="none"/>
          <w:u w:val="single"/>
        </w:rPr>
        <w:t xml:space="preserve">    </w:t>
      </w:r>
      <w:r>
        <w:rPr>
          <w:rFonts w:hint="eastAsia" w:ascii="仿宋" w:hAnsi="仿宋" w:eastAsia="仿宋" w:cs="仿宋"/>
          <w:color w:val="000000"/>
          <w:szCs w:val="24"/>
          <w:highlight w:val="none"/>
        </w:rPr>
        <w:t>年</w:t>
      </w:r>
      <w:r>
        <w:rPr>
          <w:rFonts w:hint="eastAsia" w:ascii="仿宋" w:hAnsi="仿宋" w:eastAsia="仿宋" w:cs="仿宋"/>
          <w:color w:val="000000"/>
          <w:szCs w:val="24"/>
          <w:highlight w:val="none"/>
          <w:u w:val="single"/>
        </w:rPr>
        <w:t xml:space="preserve">    </w:t>
      </w:r>
      <w:r>
        <w:rPr>
          <w:rFonts w:hint="eastAsia" w:ascii="仿宋" w:hAnsi="仿宋" w:eastAsia="仿宋" w:cs="仿宋"/>
          <w:color w:val="000000"/>
          <w:szCs w:val="24"/>
          <w:highlight w:val="none"/>
        </w:rPr>
        <w:t>月</w:t>
      </w:r>
      <w:r>
        <w:rPr>
          <w:rFonts w:hint="eastAsia" w:ascii="仿宋" w:hAnsi="仿宋" w:eastAsia="仿宋" w:cs="仿宋"/>
          <w:color w:val="000000"/>
          <w:szCs w:val="24"/>
          <w:highlight w:val="none"/>
          <w:u w:val="single"/>
        </w:rPr>
        <w:t xml:space="preserve">    </w:t>
      </w:r>
      <w:r>
        <w:rPr>
          <w:rFonts w:hint="eastAsia" w:ascii="仿宋" w:hAnsi="仿宋" w:eastAsia="仿宋" w:cs="仿宋"/>
          <w:color w:val="000000"/>
          <w:szCs w:val="24"/>
          <w:highlight w:val="none"/>
        </w:rPr>
        <w:t xml:space="preserve">日      </w:t>
      </w:r>
    </w:p>
    <w:p>
      <w:pPr>
        <w:pStyle w:val="4"/>
        <w:spacing w:before="0" w:line="360" w:lineRule="auto"/>
        <w:jc w:val="both"/>
        <w:rPr>
          <w:rFonts w:ascii="仿宋" w:hAnsi="仿宋" w:eastAsia="仿宋" w:cs="仿宋"/>
          <w:bCs/>
          <w:color w:val="000000"/>
          <w:sz w:val="24"/>
          <w:szCs w:val="24"/>
          <w:highlight w:val="none"/>
        </w:rPr>
      </w:pPr>
      <w:bookmarkStart w:id="222" w:name="_Toc365832057"/>
      <w:bookmarkStart w:id="223" w:name="_Toc13583"/>
      <w:bookmarkStart w:id="224" w:name="_Toc320508863"/>
      <w:r>
        <w:rPr>
          <w:rFonts w:hint="eastAsia" w:ascii="仿宋" w:hAnsi="仿宋" w:eastAsia="仿宋" w:cs="仿宋"/>
          <w:bCs/>
          <w:color w:val="000000"/>
          <w:sz w:val="24"/>
          <w:szCs w:val="24"/>
          <w:highlight w:val="none"/>
        </w:rPr>
        <w:t>附件8.5 投标人的资信证明</w:t>
      </w:r>
      <w:bookmarkEnd w:id="222"/>
      <w:bookmarkEnd w:id="223"/>
      <w:bookmarkEnd w:id="224"/>
    </w:p>
    <w:p>
      <w:pPr>
        <w:tabs>
          <w:tab w:val="left" w:pos="5580"/>
        </w:tabs>
        <w:spacing w:before="120" w:line="360" w:lineRule="auto"/>
        <w:ind w:firstLine="480" w:firstLineChars="200"/>
        <w:jc w:val="center"/>
        <w:rPr>
          <w:rFonts w:ascii="仿宋" w:hAnsi="仿宋" w:eastAsia="仿宋" w:cs="仿宋"/>
          <w:color w:val="000000"/>
          <w:sz w:val="24"/>
          <w:highlight w:val="none"/>
        </w:rPr>
      </w:pPr>
    </w:p>
    <w:p>
      <w:pPr>
        <w:pStyle w:val="22"/>
        <w:spacing w:line="360" w:lineRule="auto"/>
        <w:jc w:val="center"/>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近一年（2020年）财务审计报告或基本</w:t>
      </w:r>
      <w:r>
        <w:rPr>
          <w:rFonts w:hint="eastAsia" w:ascii="仿宋" w:hAnsi="仿宋" w:eastAsia="仿宋" w:cs="仿宋"/>
          <w:b/>
          <w:bCs/>
          <w:color w:val="000000"/>
          <w:sz w:val="24"/>
          <w:szCs w:val="24"/>
          <w:highlight w:val="none"/>
          <w:lang w:val="en-US" w:eastAsia="zh-CN"/>
        </w:rPr>
        <w:t>账</w:t>
      </w:r>
      <w:r>
        <w:rPr>
          <w:rFonts w:hint="eastAsia" w:ascii="仿宋" w:hAnsi="仿宋" w:eastAsia="仿宋" w:cs="仿宋"/>
          <w:b/>
          <w:bCs/>
          <w:color w:val="000000"/>
          <w:sz w:val="24"/>
          <w:szCs w:val="24"/>
          <w:highlight w:val="none"/>
        </w:rPr>
        <w:t>户开户银行出具的资信证明</w:t>
      </w:r>
    </w:p>
    <w:p>
      <w:pPr>
        <w:pStyle w:val="22"/>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（复印件加盖单位公章）</w:t>
      </w:r>
    </w:p>
    <w:p>
      <w:pPr>
        <w:tabs>
          <w:tab w:val="left" w:pos="5580"/>
        </w:tabs>
        <w:spacing w:before="120" w:line="360" w:lineRule="auto"/>
        <w:ind w:firstLine="549"/>
        <w:jc w:val="center"/>
        <w:rPr>
          <w:rFonts w:ascii="仿宋" w:hAnsi="仿宋" w:eastAsia="仿宋" w:cs="仿宋"/>
          <w:b/>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spacing w:line="360" w:lineRule="auto"/>
        <w:ind w:firstLine="480" w:firstLineChars="200"/>
        <w:rPr>
          <w:rFonts w:ascii="仿宋" w:hAnsi="仿宋" w:eastAsia="仿宋" w:cs="仿宋"/>
          <w:bCs/>
          <w:color w:val="000000"/>
          <w:sz w:val="24"/>
          <w:highlight w:val="none"/>
        </w:rPr>
      </w:pPr>
    </w:p>
    <w:p>
      <w:pPr>
        <w:pStyle w:val="4"/>
        <w:keepNext w:val="0"/>
        <w:pageBreakBefore/>
        <w:adjustRightInd/>
        <w:spacing w:before="0" w:line="360" w:lineRule="auto"/>
        <w:jc w:val="both"/>
        <w:rPr>
          <w:rFonts w:ascii="仿宋" w:hAnsi="仿宋" w:eastAsia="仿宋" w:cs="仿宋"/>
          <w:bCs/>
          <w:color w:val="000000"/>
          <w:sz w:val="24"/>
          <w:szCs w:val="24"/>
          <w:highlight w:val="none"/>
        </w:rPr>
      </w:pPr>
      <w:bookmarkStart w:id="225" w:name="_Toc22998"/>
      <w:bookmarkStart w:id="226" w:name="_Toc365832059"/>
      <w:bookmarkStart w:id="227" w:name="_Toc320508865"/>
      <w:r>
        <w:rPr>
          <w:rFonts w:hint="eastAsia" w:ascii="仿宋" w:hAnsi="仿宋" w:eastAsia="仿宋" w:cs="仿宋"/>
          <w:bCs/>
          <w:color w:val="000000"/>
          <w:sz w:val="24"/>
          <w:szCs w:val="24"/>
          <w:highlight w:val="none"/>
        </w:rPr>
        <w:t xml:space="preserve">附件8.6 </w:t>
      </w:r>
      <w:bookmarkEnd w:id="225"/>
      <w:bookmarkEnd w:id="226"/>
      <w:bookmarkEnd w:id="227"/>
      <w:r>
        <w:rPr>
          <w:rFonts w:hint="eastAsia" w:ascii="仿宋" w:hAnsi="仿宋" w:eastAsia="仿宋" w:cs="仿宋"/>
          <w:sz w:val="24"/>
          <w:highlight w:val="none"/>
        </w:rPr>
        <w:t>依法缴纳社会保障资金的记录</w:t>
      </w:r>
    </w:p>
    <w:p>
      <w:pPr>
        <w:tabs>
          <w:tab w:val="left" w:pos="5580"/>
        </w:tabs>
        <w:spacing w:before="120" w:line="360" w:lineRule="auto"/>
        <w:rPr>
          <w:rFonts w:ascii="仿宋" w:hAnsi="仿宋" w:eastAsia="仿宋" w:cs="仿宋"/>
          <w:sz w:val="24"/>
          <w:highlight w:val="none"/>
        </w:rPr>
      </w:pPr>
    </w:p>
    <w:p>
      <w:pPr>
        <w:tabs>
          <w:tab w:val="left" w:pos="5580"/>
        </w:tabs>
        <w:spacing w:before="120" w:line="360" w:lineRule="auto"/>
        <w:ind w:firstLine="482" w:firstLineChars="200"/>
        <w:jc w:val="center"/>
        <w:rPr>
          <w:rFonts w:ascii="仿宋" w:hAnsi="仿宋" w:eastAsia="仿宋" w:cs="仿宋"/>
          <w:b/>
          <w:bCs/>
          <w:sz w:val="24"/>
          <w:highlight w:val="none"/>
        </w:rPr>
      </w:pPr>
      <w:r>
        <w:rPr>
          <w:rFonts w:hint="eastAsia" w:ascii="仿宋" w:hAnsi="仿宋" w:eastAsia="仿宋" w:cs="仿宋"/>
          <w:b/>
          <w:bCs/>
          <w:sz w:val="24"/>
          <w:highlight w:val="none"/>
        </w:rPr>
        <w:t>近一年任意三个月缴纳社会保险专用收据或社会保险缴纳清单。</w:t>
      </w:r>
    </w:p>
    <w:p>
      <w:pPr>
        <w:tabs>
          <w:tab w:val="left" w:pos="5580"/>
        </w:tabs>
        <w:spacing w:before="120" w:line="360" w:lineRule="auto"/>
        <w:jc w:val="center"/>
        <w:rPr>
          <w:rFonts w:ascii="仿宋" w:hAnsi="仿宋" w:eastAsia="仿宋" w:cs="仿宋"/>
          <w:bCs/>
          <w:color w:val="000000"/>
          <w:sz w:val="24"/>
          <w:highlight w:val="none"/>
        </w:rPr>
      </w:pPr>
      <w:r>
        <w:rPr>
          <w:rFonts w:hint="eastAsia" w:ascii="仿宋" w:hAnsi="仿宋" w:eastAsia="仿宋" w:cs="仿宋"/>
          <w:color w:val="000000"/>
          <w:sz w:val="24"/>
          <w:highlight w:val="none"/>
        </w:rPr>
        <w:t>（复印件加盖单位公章）</w:t>
      </w:r>
    </w:p>
    <w:p>
      <w:pPr>
        <w:pStyle w:val="5"/>
        <w:rPr>
          <w:highlight w:val="none"/>
        </w:rPr>
      </w:pPr>
      <w:bookmarkStart w:id="228" w:name="_Toc6590"/>
      <w:bookmarkStart w:id="229" w:name="_Toc320508866"/>
      <w:bookmarkStart w:id="230" w:name="_Toc365832060"/>
    </w:p>
    <w:p>
      <w:pPr>
        <w:pStyle w:val="4"/>
        <w:pageBreakBefore/>
        <w:adjustRightInd/>
        <w:spacing w:before="0" w:line="360" w:lineRule="auto"/>
        <w:jc w:val="both"/>
        <w:rPr>
          <w:rFonts w:ascii="仿宋" w:hAnsi="仿宋" w:eastAsia="仿宋" w:cs="仿宋"/>
          <w:bCs/>
          <w:sz w:val="24"/>
          <w:highlight w:val="none"/>
        </w:rPr>
      </w:pPr>
      <w:r>
        <w:rPr>
          <w:rFonts w:hint="eastAsia" w:ascii="仿宋" w:hAnsi="仿宋" w:eastAsia="仿宋" w:cs="仿宋"/>
          <w:sz w:val="24"/>
          <w:highlight w:val="none"/>
        </w:rPr>
        <w:t xml:space="preserve">附件8.7 </w:t>
      </w:r>
      <w:r>
        <w:rPr>
          <w:rFonts w:hint="eastAsia" w:ascii="仿宋" w:hAnsi="仿宋" w:eastAsia="仿宋" w:cs="仿宋"/>
          <w:bCs/>
          <w:sz w:val="24"/>
          <w:highlight w:val="none"/>
        </w:rPr>
        <w:t xml:space="preserve">依法缴纳税收的记录                                          </w:t>
      </w:r>
    </w:p>
    <w:p>
      <w:pPr>
        <w:spacing w:line="360" w:lineRule="auto"/>
        <w:jc w:val="center"/>
        <w:rPr>
          <w:rFonts w:ascii="仿宋" w:hAnsi="仿宋" w:eastAsia="仿宋" w:cs="仿宋"/>
          <w:sz w:val="24"/>
          <w:highlight w:val="none"/>
        </w:rPr>
      </w:pPr>
    </w:p>
    <w:p>
      <w:pPr>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近一年任意三个月缴纳增值税、企业所得税的凭据。</w:t>
      </w:r>
    </w:p>
    <w:p>
      <w:pPr>
        <w:spacing w:line="360" w:lineRule="auto"/>
        <w:jc w:val="center"/>
        <w:rPr>
          <w:rFonts w:ascii="仿宋" w:hAnsi="仿宋" w:eastAsia="仿宋" w:cs="仿宋"/>
          <w:sz w:val="24"/>
          <w:highlight w:val="none"/>
        </w:rPr>
      </w:pPr>
      <w:r>
        <w:rPr>
          <w:rFonts w:hint="eastAsia" w:ascii="仿宋" w:hAnsi="仿宋" w:eastAsia="仿宋" w:cs="仿宋"/>
          <w:bCs/>
          <w:color w:val="000000"/>
          <w:sz w:val="24"/>
          <w:highlight w:val="none"/>
        </w:rPr>
        <w:t>（复印件加盖单位公章）</w:t>
      </w:r>
    </w:p>
    <w:p>
      <w:pPr>
        <w:rPr>
          <w:highlight w:val="none"/>
        </w:rPr>
      </w:pPr>
    </w:p>
    <w:p>
      <w:pPr>
        <w:pStyle w:val="4"/>
        <w:pageBreakBefore/>
        <w:adjustRightInd/>
        <w:spacing w:before="0" w:line="360" w:lineRule="auto"/>
        <w:jc w:val="both"/>
        <w:rPr>
          <w:rFonts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附件8.8 信誉要求</w:t>
      </w:r>
    </w:p>
    <w:p>
      <w:pPr>
        <w:spacing w:line="360" w:lineRule="auto"/>
        <w:jc w:val="center"/>
        <w:rPr>
          <w:rFonts w:ascii="仿宋" w:hAnsi="仿宋" w:eastAsia="仿宋" w:cs="仿宋"/>
          <w:bCs/>
          <w:color w:val="000000"/>
          <w:sz w:val="24"/>
          <w:highlight w:val="none"/>
        </w:rPr>
      </w:pPr>
    </w:p>
    <w:p>
      <w:pPr>
        <w:pStyle w:val="22"/>
        <w:spacing w:line="360" w:lineRule="auto"/>
        <w:jc w:val="center"/>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 xml:space="preserve"> 信用中国（www.creditchina.gov.cn）或中国政府采购网（www.ccgp.gov.cn）信用记录网上截图</w:t>
      </w:r>
      <w:bookmarkEnd w:id="228"/>
    </w:p>
    <w:p>
      <w:pPr>
        <w:pStyle w:val="22"/>
        <w:spacing w:line="360" w:lineRule="auto"/>
        <w:jc w:val="center"/>
        <w:rPr>
          <w:rFonts w:ascii="仿宋" w:hAnsi="仿宋" w:eastAsia="仿宋" w:cs="仿宋"/>
          <w:b/>
          <w:bCs/>
          <w:color w:val="000000"/>
          <w:sz w:val="24"/>
          <w:szCs w:val="24"/>
          <w:highlight w:val="none"/>
        </w:rPr>
      </w:pPr>
    </w:p>
    <w:p>
      <w:pPr>
        <w:pStyle w:val="22"/>
        <w:spacing w:line="360" w:lineRule="auto"/>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（复印件加盖单位公章）</w:t>
      </w:r>
    </w:p>
    <w:p>
      <w:pPr>
        <w:pStyle w:val="4"/>
        <w:pageBreakBefore/>
        <w:spacing w:before="0" w:line="360" w:lineRule="auto"/>
        <w:jc w:val="both"/>
        <w:rPr>
          <w:rFonts w:ascii="仿宋" w:hAnsi="仿宋" w:eastAsia="仿宋" w:cs="仿宋"/>
          <w:color w:val="000000"/>
          <w:sz w:val="24"/>
          <w:szCs w:val="24"/>
          <w:highlight w:val="none"/>
        </w:rPr>
      </w:pPr>
      <w:bookmarkStart w:id="231" w:name="_Toc14753"/>
      <w:r>
        <w:rPr>
          <w:rFonts w:hint="eastAsia" w:ascii="仿宋" w:hAnsi="仿宋" w:eastAsia="仿宋" w:cs="仿宋"/>
          <w:bCs/>
          <w:color w:val="000000"/>
          <w:sz w:val="24"/>
          <w:szCs w:val="24"/>
          <w:highlight w:val="none"/>
        </w:rPr>
        <w:t xml:space="preserve">附件8.9 </w:t>
      </w:r>
      <w:r>
        <w:rPr>
          <w:rFonts w:hint="eastAsia" w:ascii="仿宋" w:hAnsi="仿宋" w:eastAsia="仿宋" w:cs="仿宋"/>
          <w:color w:val="000000"/>
          <w:sz w:val="24"/>
          <w:szCs w:val="24"/>
          <w:highlight w:val="none"/>
        </w:rPr>
        <w:t>参加政府采购活动近三年内，在经营活动中没有重大违法记录声明</w:t>
      </w:r>
      <w:bookmarkEnd w:id="229"/>
      <w:bookmarkEnd w:id="230"/>
      <w:bookmarkEnd w:id="231"/>
    </w:p>
    <w:p>
      <w:pPr>
        <w:pStyle w:val="11"/>
        <w:spacing w:line="360" w:lineRule="auto"/>
        <w:rPr>
          <w:rFonts w:ascii="仿宋" w:hAnsi="仿宋" w:eastAsia="仿宋" w:cs="仿宋"/>
          <w:color w:val="000000"/>
          <w:szCs w:val="24"/>
          <w:highlight w:val="none"/>
        </w:rPr>
      </w:pPr>
    </w:p>
    <w:p>
      <w:pPr>
        <w:pStyle w:val="22"/>
        <w:spacing w:line="360" w:lineRule="auto"/>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（须加盖单位公章）</w:t>
      </w:r>
    </w:p>
    <w:p>
      <w:pPr>
        <w:pStyle w:val="4"/>
        <w:pageBreakBefore/>
        <w:spacing w:line="360" w:lineRule="auto"/>
        <w:ind w:left="2891" w:hanging="2891" w:hangingChars="1200"/>
        <w:jc w:val="left"/>
        <w:rPr>
          <w:rFonts w:ascii="仿宋" w:hAnsi="仿宋" w:eastAsia="仿宋" w:cs="仿宋"/>
          <w:color w:val="000000"/>
          <w:sz w:val="24"/>
          <w:szCs w:val="24"/>
          <w:highlight w:val="none"/>
        </w:rPr>
      </w:pPr>
      <w:bookmarkStart w:id="232" w:name="_Toc365832063"/>
      <w:bookmarkStart w:id="233" w:name="_Toc320508869"/>
      <w:bookmarkStart w:id="234" w:name="_Toc2777"/>
      <w:r>
        <w:rPr>
          <w:rFonts w:hint="eastAsia" w:ascii="仿宋" w:hAnsi="仿宋" w:eastAsia="仿宋" w:cs="仿宋"/>
          <w:color w:val="000000"/>
          <w:sz w:val="24"/>
          <w:szCs w:val="24"/>
          <w:highlight w:val="none"/>
        </w:rPr>
        <w:t xml:space="preserve">附件9 </w:t>
      </w:r>
      <w:r>
        <w:rPr>
          <w:rFonts w:hint="eastAsia" w:ascii="仿宋" w:hAnsi="仿宋" w:eastAsia="仿宋" w:cs="仿宋"/>
          <w:color w:val="000000"/>
          <w:sz w:val="24"/>
          <w:highlight w:val="none"/>
        </w:rPr>
        <w:t xml:space="preserve">服务方案                                                     </w:t>
      </w:r>
      <w:bookmarkEnd w:id="232"/>
      <w:bookmarkEnd w:id="233"/>
      <w:bookmarkEnd w:id="234"/>
    </w:p>
    <w:p>
      <w:pPr>
        <w:pStyle w:val="22"/>
        <w:spacing w:line="240" w:lineRule="atLeast"/>
        <w:ind w:left="1080" w:leftChars="257" w:hanging="540"/>
        <w:rPr>
          <w:rFonts w:ascii="仿宋" w:hAnsi="仿宋" w:eastAsia="仿宋" w:cs="仿宋"/>
          <w:sz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  期：</w:t>
      </w:r>
    </w:p>
    <w:p>
      <w:pPr>
        <w:pStyle w:val="4"/>
        <w:pageBreakBefore/>
        <w:spacing w:line="360" w:lineRule="auto"/>
        <w:jc w:val="left"/>
        <w:rPr>
          <w:rFonts w:ascii="仿宋" w:hAnsi="仿宋" w:eastAsia="仿宋" w:cs="仿宋"/>
          <w:color w:val="000000"/>
          <w:sz w:val="24"/>
          <w:szCs w:val="24"/>
          <w:highlight w:val="none"/>
        </w:rPr>
      </w:pPr>
      <w:bookmarkStart w:id="235" w:name="_Toc320508870"/>
      <w:bookmarkStart w:id="236" w:name="_Toc23631"/>
      <w:bookmarkStart w:id="237" w:name="_Toc365832064"/>
      <w:r>
        <w:rPr>
          <w:rFonts w:hint="eastAsia" w:ascii="仿宋" w:hAnsi="仿宋" w:eastAsia="仿宋" w:cs="仿宋"/>
          <w:color w:val="000000"/>
          <w:sz w:val="24"/>
          <w:szCs w:val="24"/>
          <w:highlight w:val="none"/>
        </w:rPr>
        <w:t>附件10 拟用于本项目团队人员、及人员资质和业绩情况</w:t>
      </w:r>
      <w:bookmarkEnd w:id="235"/>
      <w:bookmarkEnd w:id="236"/>
      <w:bookmarkEnd w:id="237"/>
    </w:p>
    <w:p>
      <w:pPr>
        <w:spacing w:line="360" w:lineRule="auto"/>
        <w:rPr>
          <w:rFonts w:ascii="仿宋" w:hAnsi="仿宋" w:eastAsia="仿宋" w:cs="仿宋"/>
          <w:color w:val="000000"/>
          <w:sz w:val="24"/>
          <w:highlight w:val="none"/>
        </w:rPr>
      </w:pPr>
    </w:p>
    <w:p>
      <w:pPr>
        <w:pStyle w:val="22"/>
        <w:spacing w:line="240" w:lineRule="atLeast"/>
        <w:ind w:left="1080" w:leftChars="257" w:hanging="540"/>
        <w:rPr>
          <w:rFonts w:ascii="仿宋" w:hAnsi="仿宋" w:eastAsia="仿宋" w:cs="仿宋"/>
          <w:sz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  期：</w:t>
      </w:r>
    </w:p>
    <w:p>
      <w:pPr>
        <w:pStyle w:val="4"/>
        <w:pageBreakBefore/>
        <w:spacing w:line="360" w:lineRule="auto"/>
        <w:jc w:val="left"/>
        <w:rPr>
          <w:rFonts w:ascii="仿宋" w:hAnsi="仿宋" w:eastAsia="仿宋" w:cs="仿宋"/>
          <w:color w:val="000000"/>
          <w:sz w:val="24"/>
          <w:szCs w:val="24"/>
          <w:highlight w:val="none"/>
        </w:rPr>
      </w:pPr>
      <w:bookmarkStart w:id="238" w:name="_Toc20816"/>
      <w:bookmarkStart w:id="239" w:name="_Toc365832065"/>
      <w:bookmarkStart w:id="240" w:name="_Toc320508871"/>
      <w:r>
        <w:rPr>
          <w:rFonts w:hint="eastAsia" w:ascii="仿宋" w:hAnsi="仿宋" w:eastAsia="仿宋" w:cs="仿宋"/>
          <w:color w:val="000000"/>
          <w:sz w:val="24"/>
          <w:szCs w:val="24"/>
          <w:highlight w:val="none"/>
        </w:rPr>
        <w:t>附件11 服务承诺</w:t>
      </w:r>
      <w:bookmarkEnd w:id="238"/>
      <w:bookmarkEnd w:id="239"/>
      <w:bookmarkEnd w:id="240"/>
    </w:p>
    <w:p>
      <w:pPr>
        <w:spacing w:line="360" w:lineRule="auto"/>
        <w:rPr>
          <w:rFonts w:ascii="仿宋" w:hAnsi="仿宋" w:eastAsia="仿宋" w:cs="仿宋"/>
          <w:color w:val="000000"/>
          <w:sz w:val="24"/>
          <w:highlight w:val="none"/>
        </w:rPr>
      </w:pPr>
    </w:p>
    <w:p>
      <w:pPr>
        <w:spacing w:line="360" w:lineRule="auto"/>
        <w:rPr>
          <w:rFonts w:ascii="仿宋" w:hAnsi="仿宋" w:eastAsia="仿宋" w:cs="仿宋"/>
          <w:color w:val="000000"/>
          <w:sz w:val="24"/>
          <w:highlight w:val="none"/>
        </w:rPr>
      </w:pPr>
    </w:p>
    <w:p>
      <w:pPr>
        <w:spacing w:line="360" w:lineRule="auto"/>
        <w:ind w:firstLine="3840" w:firstLineChars="1600"/>
        <w:rPr>
          <w:rFonts w:ascii="仿宋" w:hAnsi="仿宋" w:eastAsia="仿宋" w:cs="仿宋"/>
          <w:color w:val="000000"/>
          <w:sz w:val="24"/>
          <w:highlight w:val="none"/>
        </w:rPr>
      </w:pPr>
      <w:bookmarkStart w:id="241" w:name="OLE_LINK14"/>
      <w:bookmarkStart w:id="242" w:name="OLE_LINK13"/>
      <w:bookmarkStart w:id="243" w:name="_Toc320508872"/>
    </w:p>
    <w:bookmarkEnd w:id="241"/>
    <w:bookmarkEnd w:id="242"/>
    <w:p>
      <w:pPr>
        <w:pStyle w:val="22"/>
        <w:spacing w:line="240" w:lineRule="atLeast"/>
        <w:ind w:left="1080" w:leftChars="257" w:hanging="540"/>
        <w:rPr>
          <w:rFonts w:ascii="仿宋" w:hAnsi="仿宋" w:eastAsia="仿宋" w:cs="仿宋"/>
          <w:sz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  期：</w:t>
      </w:r>
    </w:p>
    <w:p>
      <w:pPr>
        <w:pStyle w:val="4"/>
        <w:pageBreakBefore/>
        <w:spacing w:line="360" w:lineRule="auto"/>
        <w:jc w:val="left"/>
        <w:rPr>
          <w:rFonts w:ascii="仿宋" w:hAnsi="仿宋" w:eastAsia="仿宋" w:cs="仿宋"/>
          <w:color w:val="000000"/>
          <w:sz w:val="24"/>
          <w:szCs w:val="24"/>
          <w:highlight w:val="none"/>
        </w:rPr>
      </w:pPr>
      <w:bookmarkStart w:id="244" w:name="_Toc365832068"/>
      <w:bookmarkStart w:id="245" w:name="_Toc32594"/>
      <w:bookmarkStart w:id="246" w:name="_Toc464128062"/>
      <w:r>
        <w:rPr>
          <w:rFonts w:hint="eastAsia" w:ascii="仿宋" w:hAnsi="仿宋" w:eastAsia="仿宋" w:cs="仿宋"/>
          <w:color w:val="000000"/>
          <w:sz w:val="24"/>
          <w:szCs w:val="24"/>
          <w:highlight w:val="none"/>
        </w:rPr>
        <w:t>附件12 投标人认为有利于评审的其他相关资料</w:t>
      </w:r>
      <w:bookmarkEnd w:id="243"/>
      <w:bookmarkEnd w:id="244"/>
      <w:bookmarkEnd w:id="245"/>
      <w:bookmarkEnd w:id="246"/>
    </w:p>
    <w:p>
      <w:pPr>
        <w:spacing w:line="360" w:lineRule="auto"/>
        <w:rPr>
          <w:rFonts w:ascii="仿宋" w:hAnsi="仿宋" w:eastAsia="仿宋" w:cs="仿宋"/>
          <w:b/>
          <w:color w:val="000000"/>
          <w:sz w:val="24"/>
          <w:highlight w:val="none"/>
        </w:rPr>
      </w:pPr>
    </w:p>
    <w:p>
      <w:pPr>
        <w:pStyle w:val="22"/>
        <w:spacing w:line="240" w:lineRule="atLeast"/>
        <w:ind w:left="1080" w:leftChars="257" w:hanging="540"/>
        <w:rPr>
          <w:rFonts w:ascii="仿宋" w:hAnsi="仿宋" w:eastAsia="仿宋" w:cs="仿宋"/>
          <w:sz w:val="24"/>
          <w:highlight w:val="none"/>
        </w:rPr>
      </w:pPr>
      <w:bookmarkStart w:id="247" w:name="_Toc365832069"/>
      <w:bookmarkStart w:id="248" w:name="_Toc320508873"/>
      <w:bookmarkStart w:id="249" w:name="_Toc440282453"/>
      <w:bookmarkStart w:id="250" w:name="_Toc320508874"/>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p>
    <w:p>
      <w:pPr>
        <w:pStyle w:val="22"/>
        <w:tabs>
          <w:tab w:val="left" w:pos="5580"/>
        </w:tabs>
        <w:spacing w:line="360" w:lineRule="auto"/>
        <w:rPr>
          <w:rFonts w:ascii="仿宋" w:hAnsi="仿宋" w:eastAsia="仿宋" w:cs="仿宋"/>
          <w:color w:val="000000"/>
          <w:sz w:val="24"/>
          <w:szCs w:val="24"/>
          <w:highlight w:val="none"/>
        </w:rPr>
      </w:pPr>
      <w:bookmarkStart w:id="251" w:name="_Toc22524"/>
      <w:bookmarkStart w:id="252" w:name="_Toc26973"/>
      <w:bookmarkStart w:id="253" w:name="_Toc18993"/>
      <w:r>
        <w:rPr>
          <w:rFonts w:hint="eastAsia" w:ascii="仿宋" w:hAnsi="仿宋" w:eastAsia="仿宋" w:cs="仿宋"/>
          <w:color w:val="000000"/>
          <w:sz w:val="24"/>
          <w:szCs w:val="24"/>
          <w:highlight w:val="none"/>
        </w:rPr>
        <w:t>投标人名称：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 xml:space="preserve">（盖章）  </w:t>
      </w:r>
    </w:p>
    <w:p>
      <w:pPr>
        <w:pStyle w:val="22"/>
        <w:tabs>
          <w:tab w:val="left" w:pos="5580"/>
        </w:tabs>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投标人授权代表(签字):</w:t>
      </w:r>
      <w:r>
        <w:rPr>
          <w:rFonts w:hint="eastAsia" w:ascii="仿宋" w:hAnsi="仿宋" w:eastAsia="仿宋" w:cs="仿宋"/>
          <w:color w:val="000000"/>
          <w:sz w:val="24"/>
          <w:szCs w:val="24"/>
          <w:highlight w:val="none"/>
          <w:u w:val="singl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  期：</w:t>
      </w:r>
    </w:p>
    <w:p>
      <w:pPr>
        <w:tabs>
          <w:tab w:val="left" w:pos="5580"/>
        </w:tabs>
        <w:spacing w:line="240" w:lineRule="atLeast"/>
        <w:jc w:val="left"/>
        <w:rPr>
          <w:rFonts w:ascii="仿宋" w:hAnsi="仿宋" w:eastAsia="仿宋" w:cs="仿宋"/>
          <w:szCs w:val="21"/>
          <w:highlight w:val="none"/>
        </w:rPr>
      </w:pPr>
      <w:r>
        <w:rPr>
          <w:rFonts w:hint="eastAsia" w:ascii="仿宋" w:hAnsi="仿宋" w:eastAsia="仿宋" w:cs="仿宋"/>
          <w:color w:val="000000"/>
          <w:sz w:val="32"/>
          <w:szCs w:val="32"/>
          <w:highlight w:val="none"/>
        </w:rPr>
        <w:br w:type="page"/>
      </w:r>
      <w:bookmarkStart w:id="254" w:name="_Toc2644"/>
      <w:r>
        <w:rPr>
          <w:rFonts w:hint="eastAsia" w:ascii="仿宋" w:hAnsi="仿宋" w:eastAsia="仿宋" w:cs="仿宋"/>
          <w:b/>
          <w:color w:val="000000"/>
          <w:kern w:val="0"/>
          <w:sz w:val="24"/>
          <w:highlight w:val="none"/>
        </w:rPr>
        <w:t xml:space="preserve">附件13 </w:t>
      </w:r>
      <w:bookmarkEnd w:id="254"/>
      <w:r>
        <w:rPr>
          <w:rFonts w:hint="eastAsia" w:ascii="仿宋" w:hAnsi="仿宋" w:eastAsia="仿宋" w:cs="仿宋"/>
          <w:b/>
          <w:color w:val="000000"/>
          <w:kern w:val="0"/>
          <w:sz w:val="24"/>
          <w:szCs w:val="20"/>
          <w:highlight w:val="none"/>
        </w:rPr>
        <w:t>中小企业声明函</w:t>
      </w:r>
    </w:p>
    <w:p>
      <w:pPr>
        <w:pStyle w:val="16"/>
        <w:tabs>
          <w:tab w:val="left" w:pos="567"/>
        </w:tabs>
        <w:autoSpaceDE w:val="0"/>
        <w:autoSpaceDN w:val="0"/>
        <w:spacing w:before="55" w:line="302" w:lineRule="auto"/>
        <w:ind w:left="220" w:right="415" w:firstLine="640"/>
        <w:jc w:val="left"/>
        <w:rPr>
          <w:rFonts w:ascii="仿宋" w:hAnsi="仿宋" w:eastAsia="仿宋" w:cs="仿宋"/>
          <w:color w:val="000000"/>
          <w:highlight w:val="none"/>
          <w:lang w:val="zh-CN"/>
        </w:rPr>
      </w:pP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ascii="仿宋" w:hAnsi="仿宋" w:eastAsia="仿宋" w:cs="仿宋"/>
          <w:spacing w:val="-2"/>
          <w:sz w:val="24"/>
          <w:highlight w:val="none"/>
          <w:lang w:val="zh-CN" w:bidi="zh-CN"/>
        </w:rPr>
        <w:t>本公司（联合体）郑重声明，根据《政府采购促进中小企业发展管理办法》（财库</w:t>
      </w:r>
      <w:r>
        <w:rPr>
          <w:rFonts w:hint="eastAsia" w:ascii="仿宋" w:hAnsi="仿宋" w:eastAsia="仿宋" w:cs="仿宋"/>
          <w:spacing w:val="-2"/>
          <w:sz w:val="24"/>
          <w:highlight w:val="none"/>
          <w:lang w:val="zh-CN" w:bidi="zh-CN"/>
        </w:rPr>
        <w:t>﹝</w:t>
      </w:r>
      <w:r>
        <w:rPr>
          <w:rFonts w:ascii="仿宋" w:hAnsi="仿宋" w:eastAsia="仿宋" w:cs="仿宋"/>
          <w:spacing w:val="-2"/>
          <w:sz w:val="24"/>
          <w:highlight w:val="none"/>
          <w:lang w:val="zh-CN" w:bidi="zh-CN"/>
        </w:rPr>
        <w:t>2020</w:t>
      </w:r>
      <w:r>
        <w:rPr>
          <w:rFonts w:hint="eastAsia" w:ascii="仿宋" w:hAnsi="仿宋" w:eastAsia="仿宋" w:cs="仿宋"/>
          <w:spacing w:val="-2"/>
          <w:sz w:val="24"/>
          <w:highlight w:val="none"/>
          <w:lang w:val="zh-CN" w:bidi="zh-CN"/>
        </w:rPr>
        <w:t>﹞</w:t>
      </w:r>
      <w:r>
        <w:rPr>
          <w:rFonts w:ascii="仿宋" w:hAnsi="仿宋" w:eastAsia="仿宋" w:cs="仿宋"/>
          <w:spacing w:val="-2"/>
          <w:sz w:val="24"/>
          <w:highlight w:val="none"/>
          <w:lang w:val="zh-CN" w:bidi="zh-CN"/>
        </w:rPr>
        <w:t>46 号）的规定，本公司（联合体）参加</w:t>
      </w:r>
      <w:r>
        <w:rPr>
          <w:rFonts w:ascii="仿宋" w:hAnsi="仿宋" w:eastAsia="仿宋" w:cs="仿宋"/>
          <w:spacing w:val="-2"/>
          <w:sz w:val="24"/>
          <w:highlight w:val="none"/>
          <w:u w:val="single"/>
          <w:lang w:val="zh-CN" w:bidi="zh-CN"/>
        </w:rPr>
        <w:t>（单位名称）</w:t>
      </w:r>
      <w:r>
        <w:rPr>
          <w:rFonts w:ascii="仿宋" w:hAnsi="仿宋" w:eastAsia="仿宋" w:cs="仿宋"/>
          <w:spacing w:val="-2"/>
          <w:sz w:val="24"/>
          <w:highlight w:val="none"/>
          <w:lang w:val="zh-CN" w:bidi="zh-CN"/>
        </w:rPr>
        <w:t>的</w:t>
      </w:r>
      <w:r>
        <w:rPr>
          <w:rFonts w:ascii="仿宋" w:hAnsi="仿宋" w:eastAsia="仿宋" w:cs="仿宋"/>
          <w:spacing w:val="-2"/>
          <w:sz w:val="24"/>
          <w:highlight w:val="none"/>
          <w:u w:val="single"/>
          <w:lang w:val="zh-CN" w:bidi="zh-CN"/>
        </w:rPr>
        <w:t>（项目名称）</w:t>
      </w:r>
      <w:r>
        <w:rPr>
          <w:rFonts w:ascii="仿宋" w:hAnsi="仿宋" w:eastAsia="仿宋" w:cs="仿宋"/>
          <w:spacing w:val="-2"/>
          <w:sz w:val="24"/>
          <w:highlight w:val="none"/>
          <w:lang w:val="zh-CN" w:bidi="zh-CN"/>
        </w:rPr>
        <w:t>采购活动，工程的施工单位全部为符合政策要求的中小企业（或者：服务全部由符合政策要求的中小企业承接）。相关企业（含联合 体中的中小企业、签订分包意向协议的中小企业）的具体情况如下：</w:t>
      </w: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hint="eastAsia" w:ascii="仿宋" w:hAnsi="仿宋" w:eastAsia="仿宋" w:cs="仿宋"/>
          <w:spacing w:val="-2"/>
          <w:sz w:val="24"/>
          <w:highlight w:val="none"/>
          <w:lang w:bidi="zh-CN"/>
        </w:rPr>
        <w:t>1.</w:t>
      </w:r>
      <w:r>
        <w:rPr>
          <w:rFonts w:ascii="仿宋" w:hAnsi="仿宋" w:eastAsia="仿宋" w:cs="仿宋"/>
          <w:spacing w:val="-2"/>
          <w:sz w:val="24"/>
          <w:highlight w:val="none"/>
          <w:u w:val="single"/>
          <w:lang w:val="zh-CN" w:bidi="zh-CN"/>
        </w:rPr>
        <w:t>（标的名称）</w:t>
      </w:r>
      <w:r>
        <w:rPr>
          <w:rFonts w:ascii="仿宋" w:hAnsi="仿宋" w:eastAsia="仿宋" w:cs="仿宋"/>
          <w:spacing w:val="-2"/>
          <w:sz w:val="24"/>
          <w:highlight w:val="none"/>
          <w:lang w:val="zh-CN" w:bidi="zh-CN"/>
        </w:rPr>
        <w:t>，属于</w:t>
      </w:r>
      <w:r>
        <w:rPr>
          <w:rFonts w:ascii="仿宋" w:hAnsi="仿宋" w:eastAsia="仿宋" w:cs="仿宋"/>
          <w:spacing w:val="-2"/>
          <w:sz w:val="24"/>
          <w:highlight w:val="none"/>
          <w:u w:val="single"/>
          <w:lang w:val="zh-CN" w:bidi="zh-CN"/>
        </w:rPr>
        <w:t>（采购文件中明确的所属行业）</w:t>
      </w:r>
      <w:r>
        <w:rPr>
          <w:rFonts w:ascii="仿宋" w:hAnsi="仿宋" w:eastAsia="仿宋" w:cs="仿宋"/>
          <w:spacing w:val="-2"/>
          <w:sz w:val="24"/>
          <w:highlight w:val="none"/>
          <w:lang w:val="zh-CN" w:bidi="zh-CN"/>
        </w:rPr>
        <w:t>；</w:t>
      </w: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ascii="仿宋" w:hAnsi="仿宋" w:eastAsia="仿宋" w:cs="仿宋"/>
          <w:spacing w:val="-2"/>
          <w:sz w:val="24"/>
          <w:highlight w:val="none"/>
          <w:lang w:val="zh-CN" w:bidi="zh-CN"/>
        </w:rPr>
        <w:t>承建（承接）企业为</w:t>
      </w:r>
      <w:r>
        <w:rPr>
          <w:rFonts w:ascii="仿宋" w:hAnsi="仿宋" w:eastAsia="仿宋" w:cs="仿宋"/>
          <w:spacing w:val="-2"/>
          <w:sz w:val="24"/>
          <w:highlight w:val="none"/>
          <w:u w:val="single"/>
          <w:lang w:val="zh-CN" w:bidi="zh-CN"/>
        </w:rPr>
        <w:t>（企业名称）</w:t>
      </w:r>
      <w:r>
        <w:rPr>
          <w:rFonts w:ascii="仿宋" w:hAnsi="仿宋" w:eastAsia="仿宋" w:cs="仿宋"/>
          <w:spacing w:val="-2"/>
          <w:sz w:val="24"/>
          <w:highlight w:val="none"/>
          <w:lang w:val="zh-CN" w:bidi="zh-CN"/>
        </w:rPr>
        <w:t>，从业人员</w:t>
      </w:r>
      <w:r>
        <w:rPr>
          <w:rFonts w:ascii="仿宋" w:hAnsi="仿宋" w:eastAsia="仿宋" w:cs="仿宋"/>
          <w:spacing w:val="-2"/>
          <w:sz w:val="24"/>
          <w:highlight w:val="none"/>
          <w:u w:val="single"/>
          <w:lang w:val="zh-CN" w:bidi="zh-CN"/>
        </w:rPr>
        <w:t xml:space="preserve"> </w:t>
      </w:r>
      <w:r>
        <w:rPr>
          <w:rFonts w:ascii="仿宋" w:hAnsi="仿宋" w:eastAsia="仿宋" w:cs="仿宋"/>
          <w:spacing w:val="-2"/>
          <w:sz w:val="24"/>
          <w:highlight w:val="none"/>
          <w:u w:val="single"/>
          <w:lang w:val="zh-CN" w:bidi="zh-CN"/>
        </w:rPr>
        <w:tab/>
      </w:r>
      <w:r>
        <w:rPr>
          <w:rFonts w:ascii="仿宋" w:hAnsi="仿宋" w:eastAsia="仿宋" w:cs="仿宋"/>
          <w:spacing w:val="-2"/>
          <w:sz w:val="24"/>
          <w:highlight w:val="none"/>
          <w:lang w:val="zh-CN" w:bidi="zh-CN"/>
        </w:rPr>
        <w:t>人，营业收入为</w:t>
      </w:r>
      <w:r>
        <w:rPr>
          <w:rFonts w:ascii="仿宋" w:hAnsi="仿宋" w:eastAsia="仿宋" w:cs="仿宋"/>
          <w:spacing w:val="-2"/>
          <w:sz w:val="24"/>
          <w:highlight w:val="none"/>
          <w:u w:val="single"/>
          <w:lang w:val="zh-CN" w:bidi="zh-CN"/>
        </w:rPr>
        <w:t xml:space="preserve"> </w:t>
      </w:r>
      <w:r>
        <w:rPr>
          <w:rFonts w:ascii="仿宋" w:hAnsi="仿宋" w:eastAsia="仿宋" w:cs="仿宋"/>
          <w:spacing w:val="-2"/>
          <w:sz w:val="24"/>
          <w:highlight w:val="none"/>
          <w:u w:val="single"/>
          <w:lang w:val="zh-CN" w:bidi="zh-CN"/>
        </w:rPr>
        <w:tab/>
      </w:r>
      <w:r>
        <w:rPr>
          <w:rFonts w:hint="eastAsia" w:ascii="仿宋" w:hAnsi="仿宋" w:eastAsia="仿宋" w:cs="仿宋"/>
          <w:spacing w:val="-2"/>
          <w:sz w:val="24"/>
          <w:highlight w:val="none"/>
          <w:u w:val="single"/>
          <w:lang w:bidi="zh-CN"/>
        </w:rPr>
        <w:t xml:space="preserve">  </w:t>
      </w:r>
      <w:r>
        <w:rPr>
          <w:rFonts w:ascii="仿宋" w:hAnsi="仿宋" w:eastAsia="仿宋" w:cs="仿宋"/>
          <w:spacing w:val="-2"/>
          <w:sz w:val="24"/>
          <w:highlight w:val="none"/>
          <w:lang w:val="zh-CN" w:bidi="zh-CN"/>
        </w:rPr>
        <w:t>万元，资产总额为</w:t>
      </w:r>
      <w:r>
        <w:rPr>
          <w:rFonts w:ascii="仿宋" w:hAnsi="仿宋" w:eastAsia="仿宋" w:cs="仿宋"/>
          <w:spacing w:val="-2"/>
          <w:sz w:val="24"/>
          <w:highlight w:val="none"/>
          <w:u w:val="single"/>
          <w:lang w:val="zh-CN" w:bidi="zh-CN"/>
        </w:rPr>
        <w:t xml:space="preserve"> </w:t>
      </w:r>
      <w:r>
        <w:rPr>
          <w:rFonts w:ascii="仿宋" w:hAnsi="仿宋" w:eastAsia="仿宋" w:cs="仿宋"/>
          <w:spacing w:val="-2"/>
          <w:sz w:val="24"/>
          <w:highlight w:val="none"/>
          <w:u w:val="single"/>
          <w:lang w:val="zh-CN" w:bidi="zh-CN"/>
        </w:rPr>
        <w:tab/>
      </w:r>
      <w:r>
        <w:rPr>
          <w:rFonts w:ascii="仿宋" w:hAnsi="仿宋" w:eastAsia="仿宋" w:cs="仿宋"/>
          <w:spacing w:val="-2"/>
          <w:sz w:val="24"/>
          <w:highlight w:val="none"/>
          <w:lang w:val="zh-CN" w:bidi="zh-CN"/>
        </w:rPr>
        <w:t>万元</w:t>
      </w:r>
      <w:r>
        <w:rPr>
          <w:highlight w:val="none"/>
        </w:rPr>
        <w:fldChar w:fldCharType="begin"/>
      </w:r>
      <w:r>
        <w:rPr>
          <w:highlight w:val="none"/>
        </w:rPr>
        <w:instrText xml:space="preserve"> HYPERLINK \l "_bookmark1" </w:instrText>
      </w:r>
      <w:r>
        <w:rPr>
          <w:highlight w:val="none"/>
        </w:rPr>
        <w:fldChar w:fldCharType="separate"/>
      </w:r>
      <w:r>
        <w:rPr>
          <w:rFonts w:ascii="仿宋" w:hAnsi="仿宋" w:eastAsia="仿宋" w:cs="仿宋"/>
          <w:spacing w:val="-2"/>
          <w:sz w:val="24"/>
          <w:highlight w:val="none"/>
          <w:vertAlign w:val="superscript"/>
          <w:lang w:val="zh-CN" w:bidi="zh-CN"/>
        </w:rPr>
        <w:t>1</w:t>
      </w:r>
      <w:r>
        <w:rPr>
          <w:rFonts w:ascii="仿宋" w:hAnsi="仿宋" w:eastAsia="仿宋" w:cs="仿宋"/>
          <w:spacing w:val="-2"/>
          <w:sz w:val="24"/>
          <w:highlight w:val="none"/>
          <w:vertAlign w:val="superscript"/>
          <w:lang w:val="zh-CN" w:bidi="zh-CN"/>
        </w:rPr>
        <w:fldChar w:fldCharType="end"/>
      </w:r>
      <w:r>
        <w:rPr>
          <w:rFonts w:ascii="仿宋" w:hAnsi="仿宋" w:eastAsia="仿宋" w:cs="仿宋"/>
          <w:spacing w:val="-2"/>
          <w:sz w:val="24"/>
          <w:highlight w:val="none"/>
          <w:lang w:val="zh-CN" w:bidi="zh-CN"/>
        </w:rPr>
        <w:t>，属于（</w:t>
      </w:r>
      <w:r>
        <w:rPr>
          <w:rFonts w:ascii="仿宋" w:hAnsi="仿宋" w:eastAsia="仿宋" w:cs="仿宋"/>
          <w:spacing w:val="-2"/>
          <w:sz w:val="24"/>
          <w:highlight w:val="none"/>
          <w:u w:val="single"/>
          <w:lang w:val="zh-CN" w:bidi="zh-CN"/>
        </w:rPr>
        <w:t>中型企业、小型企业、微型企业）</w:t>
      </w:r>
      <w:r>
        <w:rPr>
          <w:rFonts w:ascii="仿宋" w:hAnsi="仿宋" w:eastAsia="仿宋" w:cs="仿宋"/>
          <w:spacing w:val="-2"/>
          <w:sz w:val="24"/>
          <w:highlight w:val="none"/>
          <w:lang w:val="zh-CN" w:bidi="zh-CN"/>
        </w:rPr>
        <w:t>；</w:t>
      </w: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hint="eastAsia" w:ascii="仿宋" w:hAnsi="仿宋" w:eastAsia="仿宋" w:cs="仿宋"/>
          <w:spacing w:val="-2"/>
          <w:sz w:val="24"/>
          <w:highlight w:val="none"/>
          <w:lang w:bidi="zh-CN"/>
        </w:rPr>
        <w:t>2.</w:t>
      </w:r>
      <w:r>
        <w:rPr>
          <w:rFonts w:ascii="仿宋" w:hAnsi="仿宋" w:eastAsia="仿宋" w:cs="仿宋"/>
          <w:spacing w:val="-2"/>
          <w:sz w:val="24"/>
          <w:highlight w:val="none"/>
          <w:u w:val="single"/>
          <w:lang w:val="zh-CN" w:bidi="zh-CN"/>
        </w:rPr>
        <w:t>（标的名称）</w:t>
      </w:r>
      <w:r>
        <w:rPr>
          <w:rFonts w:ascii="仿宋" w:hAnsi="仿宋" w:eastAsia="仿宋" w:cs="仿宋"/>
          <w:spacing w:val="-2"/>
          <w:sz w:val="24"/>
          <w:highlight w:val="none"/>
          <w:lang w:val="zh-CN" w:bidi="zh-CN"/>
        </w:rPr>
        <w:t>，属于</w:t>
      </w:r>
      <w:r>
        <w:rPr>
          <w:rFonts w:ascii="仿宋" w:hAnsi="仿宋" w:eastAsia="仿宋" w:cs="仿宋"/>
          <w:spacing w:val="-2"/>
          <w:sz w:val="24"/>
          <w:highlight w:val="none"/>
          <w:u w:val="single"/>
          <w:lang w:val="zh-CN" w:bidi="zh-CN"/>
        </w:rPr>
        <w:t>（采购文件中明确的所属行业）</w:t>
      </w:r>
      <w:r>
        <w:rPr>
          <w:rFonts w:ascii="仿宋" w:hAnsi="仿宋" w:eastAsia="仿宋" w:cs="仿宋"/>
          <w:spacing w:val="-2"/>
          <w:sz w:val="24"/>
          <w:highlight w:val="none"/>
          <w:lang w:val="zh-CN" w:bidi="zh-CN"/>
        </w:rPr>
        <w:t>；           承建（承接）企业为</w:t>
      </w:r>
      <w:r>
        <w:rPr>
          <w:rFonts w:ascii="仿宋" w:hAnsi="仿宋" w:eastAsia="仿宋" w:cs="仿宋"/>
          <w:spacing w:val="-2"/>
          <w:sz w:val="24"/>
          <w:highlight w:val="none"/>
          <w:u w:val="single"/>
          <w:lang w:val="zh-CN" w:bidi="zh-CN"/>
        </w:rPr>
        <w:t>（企业名称）</w:t>
      </w:r>
      <w:r>
        <w:rPr>
          <w:rFonts w:ascii="仿宋" w:hAnsi="仿宋" w:eastAsia="仿宋" w:cs="仿宋"/>
          <w:spacing w:val="-2"/>
          <w:sz w:val="24"/>
          <w:highlight w:val="none"/>
          <w:lang w:val="zh-CN" w:bidi="zh-CN"/>
        </w:rPr>
        <w:t>，从业人员</w:t>
      </w:r>
      <w:r>
        <w:rPr>
          <w:rFonts w:ascii="仿宋" w:hAnsi="仿宋" w:eastAsia="仿宋" w:cs="仿宋"/>
          <w:spacing w:val="-2"/>
          <w:sz w:val="24"/>
          <w:highlight w:val="none"/>
          <w:u w:val="single"/>
          <w:lang w:val="zh-CN" w:bidi="zh-CN"/>
        </w:rPr>
        <w:t xml:space="preserve"> </w:t>
      </w:r>
      <w:r>
        <w:rPr>
          <w:rFonts w:hint="eastAsia" w:ascii="仿宋" w:hAnsi="仿宋" w:eastAsia="仿宋" w:cs="仿宋"/>
          <w:spacing w:val="-2"/>
          <w:sz w:val="24"/>
          <w:highlight w:val="none"/>
          <w:u w:val="single"/>
          <w:lang w:bidi="zh-CN"/>
        </w:rPr>
        <w:t xml:space="preserve"> </w:t>
      </w:r>
      <w:r>
        <w:rPr>
          <w:rFonts w:ascii="仿宋" w:hAnsi="仿宋" w:eastAsia="仿宋" w:cs="仿宋"/>
          <w:spacing w:val="-2"/>
          <w:sz w:val="24"/>
          <w:highlight w:val="none"/>
          <w:u w:val="single"/>
          <w:lang w:val="zh-CN" w:bidi="zh-CN"/>
        </w:rPr>
        <w:tab/>
      </w:r>
      <w:r>
        <w:rPr>
          <w:rFonts w:ascii="仿宋" w:hAnsi="仿宋" w:eastAsia="仿宋" w:cs="仿宋"/>
          <w:spacing w:val="-2"/>
          <w:sz w:val="24"/>
          <w:highlight w:val="none"/>
          <w:lang w:val="zh-CN" w:bidi="zh-CN"/>
        </w:rPr>
        <w:t>人，营业收入为</w:t>
      </w:r>
      <w:r>
        <w:rPr>
          <w:rFonts w:ascii="仿宋" w:hAnsi="仿宋" w:eastAsia="仿宋" w:cs="仿宋"/>
          <w:spacing w:val="-2"/>
          <w:sz w:val="24"/>
          <w:highlight w:val="none"/>
          <w:u w:val="single"/>
          <w:lang w:val="zh-CN" w:bidi="zh-CN"/>
        </w:rPr>
        <w:t xml:space="preserve"> </w:t>
      </w:r>
      <w:r>
        <w:rPr>
          <w:rFonts w:hint="eastAsia" w:ascii="仿宋" w:hAnsi="仿宋" w:eastAsia="仿宋" w:cs="仿宋"/>
          <w:spacing w:val="-2"/>
          <w:sz w:val="24"/>
          <w:highlight w:val="none"/>
          <w:u w:val="single"/>
          <w:lang w:bidi="zh-CN"/>
        </w:rPr>
        <w:t xml:space="preserve">  </w:t>
      </w:r>
      <w:r>
        <w:rPr>
          <w:rFonts w:ascii="仿宋" w:hAnsi="仿宋" w:eastAsia="仿宋" w:cs="仿宋"/>
          <w:spacing w:val="-2"/>
          <w:sz w:val="24"/>
          <w:highlight w:val="none"/>
          <w:lang w:val="zh-CN" w:bidi="zh-CN"/>
        </w:rPr>
        <w:t>万元，资产总额为</w:t>
      </w:r>
      <w:r>
        <w:rPr>
          <w:rFonts w:ascii="仿宋" w:hAnsi="仿宋" w:eastAsia="仿宋" w:cs="仿宋"/>
          <w:spacing w:val="-2"/>
          <w:sz w:val="24"/>
          <w:highlight w:val="none"/>
          <w:u w:val="single"/>
          <w:lang w:val="zh-CN" w:bidi="zh-CN"/>
        </w:rPr>
        <w:t xml:space="preserve"> </w:t>
      </w:r>
      <w:r>
        <w:rPr>
          <w:rFonts w:ascii="仿宋" w:hAnsi="仿宋" w:eastAsia="仿宋" w:cs="仿宋"/>
          <w:spacing w:val="-2"/>
          <w:sz w:val="24"/>
          <w:highlight w:val="none"/>
          <w:u w:val="single"/>
          <w:lang w:val="zh-CN" w:bidi="zh-CN"/>
        </w:rPr>
        <w:tab/>
      </w:r>
      <w:r>
        <w:rPr>
          <w:rFonts w:ascii="仿宋" w:hAnsi="仿宋" w:eastAsia="仿宋" w:cs="仿宋"/>
          <w:spacing w:val="-2"/>
          <w:sz w:val="24"/>
          <w:highlight w:val="none"/>
          <w:lang w:val="zh-CN" w:bidi="zh-CN"/>
        </w:rPr>
        <w:t>万元，属于</w:t>
      </w:r>
      <w:r>
        <w:rPr>
          <w:rFonts w:ascii="仿宋" w:hAnsi="仿宋" w:eastAsia="仿宋" w:cs="仿宋"/>
          <w:spacing w:val="-2"/>
          <w:sz w:val="24"/>
          <w:highlight w:val="none"/>
          <w:u w:val="single"/>
          <w:lang w:val="zh-CN" w:bidi="zh-CN"/>
        </w:rPr>
        <w:t>（中型企业、小型企业、微型企业）</w:t>
      </w:r>
      <w:r>
        <w:rPr>
          <w:rFonts w:ascii="仿宋" w:hAnsi="仿宋" w:eastAsia="仿宋" w:cs="仿宋"/>
          <w:spacing w:val="-2"/>
          <w:sz w:val="24"/>
          <w:highlight w:val="none"/>
          <w:lang w:val="zh-CN" w:bidi="zh-CN"/>
        </w:rPr>
        <w:t>；</w:t>
      </w: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ascii="仿宋" w:hAnsi="仿宋" w:eastAsia="仿宋" w:cs="仿宋"/>
          <w:spacing w:val="-2"/>
          <w:sz w:val="24"/>
          <w:highlight w:val="none"/>
          <w:lang w:val="zh-CN" w:bidi="zh-CN"/>
        </w:rPr>
        <w:t>……</w:t>
      </w: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ascii="仿宋" w:hAnsi="仿宋" w:eastAsia="仿宋" w:cs="仿宋"/>
          <w:spacing w:val="-2"/>
          <w:sz w:val="24"/>
          <w:highlight w:val="none"/>
          <w:lang w:val="zh-CN" w:bidi="zh-CN"/>
        </w:rPr>
        <w:t>以上企业，不属于大企业的分支机构，不存在控股股东为大企业的情形，也不存在与大企业的负责人为同一人的情形。</w:t>
      </w:r>
    </w:p>
    <w:p>
      <w:pPr>
        <w:autoSpaceDE w:val="0"/>
        <w:autoSpaceDN w:val="0"/>
        <w:spacing w:before="55" w:line="302" w:lineRule="auto"/>
        <w:ind w:left="220" w:right="415" w:firstLine="640"/>
        <w:jc w:val="left"/>
        <w:rPr>
          <w:rFonts w:ascii="仿宋" w:hAnsi="仿宋" w:eastAsia="仿宋" w:cs="仿宋"/>
          <w:spacing w:val="-2"/>
          <w:sz w:val="24"/>
          <w:highlight w:val="none"/>
          <w:lang w:val="zh-CN" w:bidi="zh-CN"/>
        </w:rPr>
      </w:pPr>
      <w:r>
        <w:rPr>
          <w:rFonts w:ascii="仿宋" w:hAnsi="仿宋" w:eastAsia="仿宋" w:cs="仿宋"/>
          <w:spacing w:val="-2"/>
          <w:sz w:val="24"/>
          <w:highlight w:val="none"/>
          <w:lang w:val="zh-CN" w:bidi="zh-CN"/>
        </w:rPr>
        <w:t>本企业对上述声明内容的真实性负责。如有虚假，将依法承担相应责任。</w:t>
      </w:r>
    </w:p>
    <w:p>
      <w:pPr>
        <w:spacing w:line="360" w:lineRule="auto"/>
        <w:jc w:val="center"/>
        <w:rPr>
          <w:rFonts w:ascii="仿宋" w:hAnsi="仿宋" w:eastAsia="仿宋" w:cs="仿宋"/>
          <w:spacing w:val="-8"/>
          <w:w w:val="99"/>
          <w:sz w:val="24"/>
          <w:highlight w:val="none"/>
          <w:lang w:val="zh-CN" w:bidi="zh-CN"/>
        </w:rPr>
      </w:pPr>
      <w:r>
        <w:rPr>
          <w:rFonts w:hint="eastAsia" w:ascii="仿宋" w:hAnsi="仿宋" w:eastAsia="仿宋" w:cs="仿宋"/>
          <w:w w:val="99"/>
          <w:sz w:val="24"/>
          <w:highlight w:val="none"/>
          <w:lang w:bidi="zh-CN"/>
        </w:rPr>
        <w:t xml:space="preserve">                                         </w:t>
      </w:r>
      <w:r>
        <w:rPr>
          <w:rFonts w:ascii="仿宋" w:hAnsi="仿宋" w:eastAsia="仿宋" w:cs="仿宋"/>
          <w:w w:val="99"/>
          <w:sz w:val="24"/>
          <w:highlight w:val="none"/>
          <w:lang w:val="zh-CN" w:bidi="zh-CN"/>
        </w:rPr>
        <w:t>企业名称</w:t>
      </w:r>
      <w:r>
        <w:rPr>
          <w:rFonts w:ascii="仿宋" w:hAnsi="仿宋" w:eastAsia="仿宋" w:cs="仿宋"/>
          <w:spacing w:val="2"/>
          <w:w w:val="99"/>
          <w:sz w:val="24"/>
          <w:highlight w:val="none"/>
          <w:lang w:val="zh-CN" w:bidi="zh-CN"/>
        </w:rPr>
        <w:t>（</w:t>
      </w:r>
      <w:r>
        <w:rPr>
          <w:rFonts w:ascii="仿宋" w:hAnsi="仿宋" w:eastAsia="仿宋" w:cs="仿宋"/>
          <w:w w:val="99"/>
          <w:sz w:val="24"/>
          <w:highlight w:val="none"/>
          <w:lang w:val="zh-CN" w:bidi="zh-CN"/>
        </w:rPr>
        <w:t>盖章</w:t>
      </w:r>
      <w:r>
        <w:rPr>
          <w:rFonts w:hint="eastAsia" w:ascii="仿宋" w:hAnsi="仿宋" w:eastAsia="仿宋" w:cs="仿宋"/>
          <w:w w:val="99"/>
          <w:sz w:val="24"/>
          <w:highlight w:val="none"/>
          <w:lang w:val="zh-CN" w:bidi="zh-CN"/>
        </w:rPr>
        <w:t>）：</w:t>
      </w:r>
    </w:p>
    <w:p>
      <w:pPr>
        <w:pStyle w:val="16"/>
        <w:tabs>
          <w:tab w:val="left" w:pos="567"/>
        </w:tabs>
        <w:spacing w:before="30"/>
        <w:ind w:firstLine="6989" w:firstLineChars="2900"/>
        <w:rPr>
          <w:rFonts w:ascii="仿宋" w:hAnsi="仿宋" w:eastAsia="仿宋" w:cs="仿宋"/>
          <w:color w:val="000000"/>
          <w:highlight w:val="none"/>
          <w:lang w:val="zh-CN"/>
        </w:rPr>
      </w:pPr>
      <w:r>
        <w:rPr>
          <w:rFonts w:ascii="仿宋" w:hAnsi="仿宋" w:eastAsia="仿宋" w:cs="仿宋"/>
          <w:spacing w:val="2"/>
          <w:w w:val="99"/>
          <w:sz w:val="24"/>
          <w:highlight w:val="none"/>
          <w:lang w:val="zh-CN" w:bidi="zh-CN"/>
        </w:rPr>
        <w:t>日期：</w:t>
      </w: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60" w:lineRule="auto"/>
        <w:ind w:firstLine="608" w:firstLineChars="202"/>
        <w:jc w:val="center"/>
        <w:rPr>
          <w:rFonts w:ascii="仿宋" w:hAnsi="仿宋" w:eastAsia="仿宋" w:cs="仿宋"/>
          <w:b/>
          <w:color w:val="FF0000"/>
          <w:sz w:val="30"/>
          <w:szCs w:val="30"/>
          <w:highlight w:val="none"/>
        </w:rPr>
      </w:pPr>
    </w:p>
    <w:p>
      <w:pPr>
        <w:spacing w:line="360" w:lineRule="auto"/>
        <w:ind w:firstLine="568" w:firstLineChars="202"/>
        <w:jc w:val="left"/>
        <w:rPr>
          <w:rFonts w:ascii="仿宋" w:hAnsi="仿宋" w:eastAsia="仿宋" w:cs="仿宋"/>
          <w:b/>
          <w:color w:val="FF0000"/>
          <w:sz w:val="28"/>
          <w:szCs w:val="28"/>
          <w:highlight w:val="none"/>
        </w:rPr>
      </w:pPr>
      <w:r>
        <w:rPr>
          <w:rFonts w:hint="eastAsia" w:ascii="仿宋" w:hAnsi="仿宋" w:eastAsia="仿宋" w:cs="仿宋"/>
          <w:b/>
          <w:color w:val="FF0000"/>
          <w:sz w:val="28"/>
          <w:szCs w:val="28"/>
          <w:highlight w:val="none"/>
        </w:rPr>
        <w:t>注：1、投标单位必须严格填写此表，此表作为评审依据。（此格式不允许更改）</w:t>
      </w:r>
    </w:p>
    <w:p>
      <w:pPr>
        <w:spacing w:line="360" w:lineRule="auto"/>
        <w:ind w:firstLine="568" w:firstLineChars="202"/>
        <w:jc w:val="left"/>
        <w:rPr>
          <w:rFonts w:ascii="仿宋" w:hAnsi="仿宋" w:eastAsia="仿宋" w:cs="仿宋"/>
          <w:b/>
          <w:color w:val="FF0000"/>
          <w:sz w:val="30"/>
          <w:szCs w:val="30"/>
          <w:highlight w:val="none"/>
        </w:rPr>
      </w:pPr>
      <w:r>
        <w:rPr>
          <w:rFonts w:hint="eastAsia" w:ascii="仿宋" w:hAnsi="仿宋" w:eastAsia="仿宋" w:cs="仿宋"/>
          <w:b/>
          <w:color w:val="FF0000"/>
          <w:sz w:val="28"/>
          <w:szCs w:val="28"/>
          <w:highlight w:val="none"/>
        </w:rPr>
        <w:t>2、投标单位必须严格按照中小企业划型标准规定填写，若填写不实，按废标处理。</w:t>
      </w: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60" w:lineRule="auto"/>
        <w:ind w:firstLine="424" w:firstLineChars="202"/>
        <w:jc w:val="center"/>
        <w:rPr>
          <w:rFonts w:ascii="仿宋" w:hAnsi="仿宋" w:eastAsia="仿宋" w:cs="仿宋"/>
          <w:szCs w:val="21"/>
          <w:highlight w:val="none"/>
        </w:rPr>
      </w:pPr>
    </w:p>
    <w:p>
      <w:pPr>
        <w:spacing w:line="312" w:lineRule="auto"/>
        <w:jc w:val="center"/>
        <w:rPr>
          <w:rFonts w:ascii="仿宋" w:hAnsi="仿宋" w:eastAsia="仿宋" w:cs="仿宋"/>
          <w:b/>
          <w:bCs/>
          <w:sz w:val="22"/>
          <w:szCs w:val="22"/>
          <w:highlight w:val="none"/>
        </w:rPr>
      </w:pPr>
    </w:p>
    <w:p>
      <w:pPr>
        <w:spacing w:line="312" w:lineRule="auto"/>
        <w:jc w:val="center"/>
        <w:rPr>
          <w:rFonts w:ascii="仿宋" w:hAnsi="仿宋" w:eastAsia="仿宋" w:cs="仿宋"/>
          <w:b/>
          <w:bCs/>
          <w:sz w:val="22"/>
          <w:szCs w:val="22"/>
          <w:highlight w:val="none"/>
        </w:rPr>
      </w:pPr>
    </w:p>
    <w:p>
      <w:pPr>
        <w:spacing w:line="312" w:lineRule="auto"/>
        <w:jc w:val="center"/>
        <w:rPr>
          <w:rFonts w:ascii="仿宋" w:hAnsi="仿宋" w:eastAsia="仿宋" w:cs="仿宋"/>
          <w:b/>
          <w:bCs/>
          <w:sz w:val="22"/>
          <w:szCs w:val="22"/>
          <w:highlight w:val="none"/>
        </w:rPr>
      </w:pPr>
      <w:r>
        <w:rPr>
          <w:rFonts w:hint="eastAsia" w:ascii="仿宋" w:hAnsi="仿宋" w:eastAsia="仿宋" w:cs="仿宋"/>
          <w:b/>
          <w:bCs/>
          <w:sz w:val="22"/>
          <w:szCs w:val="22"/>
          <w:highlight w:val="none"/>
        </w:rPr>
        <w:t>监狱企业的证明文件（如有）</w:t>
      </w:r>
    </w:p>
    <w:p>
      <w:pPr>
        <w:spacing w:line="312" w:lineRule="auto"/>
        <w:rPr>
          <w:rFonts w:ascii="仿宋" w:hAnsi="仿宋" w:eastAsia="仿宋" w:cs="仿宋"/>
          <w:szCs w:val="21"/>
          <w:highlight w:val="none"/>
        </w:rPr>
      </w:pPr>
    </w:p>
    <w:p>
      <w:pPr>
        <w:spacing w:line="312" w:lineRule="auto"/>
        <w:ind w:firstLine="420" w:firstLineChars="200"/>
        <w:rPr>
          <w:rFonts w:ascii="仿宋" w:hAnsi="仿宋" w:eastAsia="仿宋" w:cs="仿宋"/>
          <w:szCs w:val="21"/>
          <w:highlight w:val="none"/>
        </w:rPr>
      </w:pPr>
      <w:r>
        <w:rPr>
          <w:rFonts w:ascii="仿宋" w:hAnsi="仿宋" w:eastAsia="仿宋" w:cs="仿宋"/>
          <w:szCs w:val="21"/>
          <w:highlight w:val="none"/>
        </w:rPr>
        <w:t>说明:监狱企业参加采购活动时，应当提供由省级以上监狱管理局、戒毒管理局(含新疆生产建设兵团)出具的属于监狱企业的证明文件，并加盖</w:t>
      </w:r>
      <w:r>
        <w:rPr>
          <w:rFonts w:hint="eastAsia" w:ascii="仿宋" w:hAnsi="仿宋" w:eastAsia="仿宋" w:cs="仿宋"/>
          <w:szCs w:val="21"/>
          <w:highlight w:val="none"/>
        </w:rPr>
        <w:t>投标</w:t>
      </w:r>
      <w:r>
        <w:rPr>
          <w:rFonts w:ascii="仿宋" w:hAnsi="仿宋" w:eastAsia="仿宋" w:cs="仿宋"/>
          <w:szCs w:val="21"/>
          <w:highlight w:val="none"/>
        </w:rPr>
        <w:t>单位公章。</w:t>
      </w:r>
    </w:p>
    <w:p>
      <w:pPr>
        <w:spacing w:line="588" w:lineRule="exact"/>
        <w:jc w:val="center"/>
        <w:rPr>
          <w:rFonts w:ascii="仿宋" w:hAnsi="仿宋" w:eastAsia="仿宋" w:cs="仿宋"/>
          <w:b/>
          <w:szCs w:val="28"/>
          <w:highlight w:val="none"/>
        </w:rPr>
      </w:pPr>
    </w:p>
    <w:p>
      <w:pPr>
        <w:spacing w:line="588" w:lineRule="exact"/>
        <w:jc w:val="center"/>
        <w:rPr>
          <w:rFonts w:ascii="仿宋" w:hAnsi="仿宋" w:eastAsia="仿宋" w:cs="仿宋"/>
          <w:b/>
          <w:szCs w:val="28"/>
          <w:highlight w:val="none"/>
        </w:rPr>
      </w:pPr>
      <w:r>
        <w:rPr>
          <w:rFonts w:hint="eastAsia" w:ascii="仿宋" w:hAnsi="仿宋" w:eastAsia="仿宋" w:cs="仿宋"/>
          <w:b/>
          <w:szCs w:val="28"/>
          <w:highlight w:val="none"/>
        </w:rPr>
        <w:t>残疾人福利性单位声明函（如有）</w:t>
      </w:r>
    </w:p>
    <w:p>
      <w:pPr>
        <w:spacing w:line="588" w:lineRule="exact"/>
        <w:rPr>
          <w:rFonts w:ascii="仿宋" w:hAnsi="仿宋" w:eastAsia="仿宋" w:cs="仿宋"/>
          <w:b/>
          <w:spacing w:val="6"/>
          <w:sz w:val="30"/>
          <w:szCs w:val="30"/>
          <w:highlight w:val="none"/>
        </w:rPr>
      </w:pPr>
    </w:p>
    <w:p>
      <w:pPr>
        <w:spacing w:line="312" w:lineRule="auto"/>
        <w:rPr>
          <w:rFonts w:ascii="仿宋" w:hAnsi="仿宋" w:eastAsia="仿宋" w:cs="仿宋"/>
          <w:szCs w:val="21"/>
          <w:highlight w:val="none"/>
        </w:rPr>
      </w:pPr>
      <w:r>
        <w:rPr>
          <w:rFonts w:hint="eastAsia" w:ascii="仿宋" w:hAnsi="仿宋" w:eastAsia="仿宋" w:cs="仿宋"/>
          <w:szCs w:val="21"/>
          <w:highlight w:val="none"/>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12" w:lineRule="auto"/>
        <w:rPr>
          <w:rFonts w:ascii="仿宋" w:hAnsi="仿宋" w:eastAsia="仿宋" w:cs="仿宋"/>
          <w:szCs w:val="21"/>
          <w:highlight w:val="none"/>
        </w:rPr>
      </w:pPr>
      <w:r>
        <w:rPr>
          <w:rFonts w:hint="eastAsia" w:ascii="仿宋" w:hAnsi="仿宋" w:eastAsia="仿宋" w:cs="仿宋"/>
          <w:szCs w:val="21"/>
          <w:highlight w:val="none"/>
        </w:rPr>
        <w:t>本单位对上述声明的真实性负责。如有虚假，将依法承担相应责任。</w:t>
      </w:r>
    </w:p>
    <w:p>
      <w:pPr>
        <w:spacing w:line="588" w:lineRule="exact"/>
        <w:ind w:firstLine="624" w:firstLineChars="200"/>
        <w:rPr>
          <w:rFonts w:ascii="仿宋" w:hAnsi="仿宋" w:eastAsia="仿宋" w:cs="仿宋"/>
          <w:spacing w:val="6"/>
          <w:sz w:val="30"/>
          <w:szCs w:val="30"/>
          <w:highlight w:val="none"/>
        </w:rPr>
      </w:pPr>
    </w:p>
    <w:p>
      <w:pPr>
        <w:spacing w:line="588" w:lineRule="exact"/>
        <w:ind w:firstLine="444" w:firstLineChars="200"/>
        <w:rPr>
          <w:rFonts w:ascii="仿宋" w:hAnsi="仿宋" w:eastAsia="仿宋" w:cs="仿宋"/>
          <w:spacing w:val="6"/>
          <w:szCs w:val="21"/>
          <w:highlight w:val="none"/>
        </w:rPr>
      </w:pPr>
    </w:p>
    <w:p>
      <w:pPr>
        <w:spacing w:line="312" w:lineRule="auto"/>
        <w:ind w:firstLine="405"/>
        <w:rPr>
          <w:rFonts w:ascii="仿宋" w:hAnsi="仿宋" w:eastAsia="仿宋" w:cs="仿宋"/>
          <w:sz w:val="24"/>
          <w:highlight w:val="none"/>
        </w:rPr>
      </w:pPr>
    </w:p>
    <w:p>
      <w:pPr>
        <w:spacing w:line="312" w:lineRule="auto"/>
        <w:ind w:firstLine="405"/>
        <w:rPr>
          <w:rFonts w:ascii="仿宋" w:hAnsi="仿宋" w:eastAsia="仿宋" w:cs="仿宋"/>
          <w:sz w:val="24"/>
          <w:highlight w:val="none"/>
        </w:rPr>
      </w:pPr>
    </w:p>
    <w:p>
      <w:pPr>
        <w:spacing w:line="312" w:lineRule="auto"/>
        <w:ind w:firstLine="405"/>
        <w:rPr>
          <w:rFonts w:ascii="仿宋" w:hAnsi="仿宋" w:eastAsia="仿宋" w:cs="仿宋"/>
          <w:szCs w:val="21"/>
          <w:highlight w:val="none"/>
        </w:rPr>
      </w:pPr>
      <w:r>
        <w:rPr>
          <w:rFonts w:hint="eastAsia" w:ascii="仿宋" w:hAnsi="仿宋" w:eastAsia="仿宋" w:cs="仿宋"/>
          <w:szCs w:val="21"/>
          <w:highlight w:val="none"/>
        </w:rPr>
        <w:t xml:space="preserve">        单位名称（盖章）：</w:t>
      </w:r>
    </w:p>
    <w:p>
      <w:pPr>
        <w:spacing w:line="312" w:lineRule="auto"/>
        <w:ind w:firstLine="405"/>
        <w:rPr>
          <w:rFonts w:ascii="仿宋" w:hAnsi="仿宋" w:eastAsia="仿宋" w:cs="仿宋"/>
          <w:szCs w:val="21"/>
          <w:highlight w:val="none"/>
        </w:rPr>
      </w:pPr>
    </w:p>
    <w:p>
      <w:pPr>
        <w:spacing w:line="312" w:lineRule="auto"/>
        <w:ind w:firstLine="405"/>
        <w:rPr>
          <w:rFonts w:ascii="仿宋" w:hAnsi="仿宋" w:eastAsia="仿宋" w:cs="仿宋"/>
          <w:szCs w:val="21"/>
          <w:highlight w:val="none"/>
        </w:rPr>
      </w:pPr>
    </w:p>
    <w:p>
      <w:pPr>
        <w:spacing w:line="312" w:lineRule="auto"/>
        <w:ind w:firstLine="405"/>
        <w:rPr>
          <w:rFonts w:ascii="仿宋" w:hAnsi="仿宋" w:eastAsia="仿宋" w:cs="仿宋"/>
          <w:szCs w:val="21"/>
          <w:highlight w:val="none"/>
        </w:rPr>
      </w:pPr>
      <w:r>
        <w:rPr>
          <w:rFonts w:hint="eastAsia" w:ascii="仿宋" w:hAnsi="仿宋" w:eastAsia="仿宋" w:cs="仿宋"/>
          <w:szCs w:val="21"/>
          <w:highlight w:val="none"/>
        </w:rPr>
        <w:t xml:space="preserve">         日  期：</w:t>
      </w:r>
    </w:p>
    <w:p>
      <w:pPr>
        <w:pStyle w:val="16"/>
        <w:tabs>
          <w:tab w:val="left" w:pos="567"/>
        </w:tabs>
        <w:spacing w:before="30"/>
        <w:rPr>
          <w:rFonts w:ascii="仿宋" w:hAnsi="仿宋" w:eastAsia="仿宋" w:cs="仿宋"/>
          <w:w w:val="99"/>
          <w:szCs w:val="21"/>
          <w:highlight w:val="none"/>
        </w:rPr>
      </w:pPr>
      <w:r>
        <w:rPr>
          <w:rFonts w:hint="eastAsia" w:ascii="仿宋" w:hAnsi="仿宋" w:eastAsia="仿宋" w:cs="仿宋"/>
          <w:color w:val="000000"/>
          <w:highlight w:val="none"/>
          <w:lang w:val="zh-CN"/>
        </w:rPr>
        <w:br w:type="page"/>
      </w:r>
      <w:r>
        <w:rPr>
          <w:rFonts w:hint="eastAsia" w:ascii="仿宋" w:hAnsi="仿宋" w:eastAsia="仿宋" w:cs="仿宋"/>
          <w:w w:val="99"/>
          <w:szCs w:val="21"/>
          <w:highlight w:val="none"/>
        </w:rPr>
        <w:t xml:space="preserve"> </w:t>
      </w:r>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中小企业划型标准规定</w:t>
      </w:r>
    </w:p>
    <w:p>
      <w:pPr>
        <w:spacing w:line="312"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一、根据《中华人民共和国中小企业促进法》和《国务院关于进一步促进中小企业发展的若干意见》(国发〔2009〕36号)，制定本规定。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二、中小企业划分为中型、小型、微型三种类型，具体标准根据企业从业人员、营业收入、资产总额等指标，结合行业特点制定。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四、各行业划型标准为：</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（一）农、林、牧、渔业。营业收入20000万元以下的为中小微型企业。其中，营业收入500万元及以上的为中型企业，营业收入50万元及以上的为小型企业，营业收入50万元以下的为微型企业。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（十六）其他未列明行业。从业人员300人以下的为中小微型企业。其中，从业人员100人及以上的为中型企业；从业人员10人及以上的为小型企业；从业人员10人以下的为微型企业。</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五、企业类型的划分以统计部门的统计数据为依据。</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六、本规定适用于在中华人民共和国境内依法设立的各类所有制和各种组织形式的企业。个体工商户和本规定以外的行业，参照本规定进行划型。</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八、本规定由工业和信息化部、国家统计局会同有关部门根据《国民经济行业分类》修订情况和企业发展变化情况适时修订。</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九、本规定由工业和信息化部、国家统计局会同有关部门负责解释。</w:t>
      </w:r>
    </w:p>
    <w:p>
      <w:pPr>
        <w:spacing w:line="312" w:lineRule="auto"/>
        <w:rPr>
          <w:rFonts w:ascii="仿宋" w:hAnsi="仿宋" w:eastAsia="仿宋" w:cs="仿宋"/>
          <w:szCs w:val="21"/>
          <w:highlight w:val="none"/>
        </w:rPr>
      </w:pPr>
      <w:r>
        <w:rPr>
          <w:rFonts w:hint="eastAsia" w:ascii="仿宋" w:hAnsi="仿宋" w:eastAsia="仿宋" w:cs="仿宋"/>
          <w:szCs w:val="21"/>
          <w:highlight w:val="none"/>
        </w:rPr>
        <w:t xml:space="preserve">    十、本规定自发布之日起执行，原国家经贸委、原国家计委、财政部和国家统计局2003年颁布的《中小企业标准暂行规定》同时废止。</w:t>
      </w:r>
    </w:p>
    <w:p>
      <w:pPr>
        <w:pStyle w:val="3"/>
        <w:spacing w:before="0" w:after="0" w:line="360" w:lineRule="auto"/>
        <w:jc w:val="center"/>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br w:type="page"/>
      </w:r>
      <w:bookmarkStart w:id="255" w:name="_Toc22032"/>
      <w:r>
        <w:rPr>
          <w:rFonts w:hint="eastAsia" w:ascii="仿宋" w:hAnsi="仿宋" w:eastAsia="仿宋" w:cs="仿宋"/>
          <w:color w:val="000000"/>
          <w:sz w:val="32"/>
          <w:szCs w:val="32"/>
          <w:highlight w:val="none"/>
        </w:rPr>
        <w:t>第六部分  评标方法和标准</w:t>
      </w:r>
      <w:bookmarkEnd w:id="247"/>
      <w:bookmarkEnd w:id="248"/>
      <w:bookmarkEnd w:id="249"/>
      <w:bookmarkEnd w:id="251"/>
      <w:bookmarkEnd w:id="252"/>
      <w:bookmarkEnd w:id="253"/>
      <w:bookmarkEnd w:id="255"/>
    </w:p>
    <w:p>
      <w:pPr>
        <w:spacing w:line="360" w:lineRule="auto"/>
        <w:ind w:firstLine="472" w:firstLineChars="197"/>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依据《中华人民共和国政府采购法》及政府采购相关法规，结合项目特点制定本招标项目评标办法（以下简称“本办法”）。 </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本办法已贯彻采购人对本招标项目的各项要求和原则，并由采购人负责解释。评标委员会将严格依照本办法对投标人的投标进行评审。除非是本办法中提及的规范性文件中另有规定，否则任何在本办法中未明文规定的评价因素或方法均不适用于本次评标。</w:t>
      </w:r>
    </w:p>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一、总 则</w:t>
      </w:r>
    </w:p>
    <w:p>
      <w:pPr>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（一）评标委员会</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评标工作由评标委员会承担，评委会由采购人和在吉林省公共资源交易中心专家库随机抽取的有关技术、经济等方面的专家共5人组成，其中外聘专家不少于三分之二。</w:t>
      </w:r>
    </w:p>
    <w:p>
      <w:pPr>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（二）评标过程的监督</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本项目评标在吉林省公共资源交易中心的监督下进行。</w:t>
      </w:r>
    </w:p>
    <w:p>
      <w:pPr>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（三）评标原则</w:t>
      </w:r>
    </w:p>
    <w:p>
      <w:pPr>
        <w:numPr>
          <w:ilvl w:val="0"/>
          <w:numId w:val="3"/>
        </w:numPr>
        <w:spacing w:line="360" w:lineRule="auto"/>
        <w:ind w:left="0"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评标活动遵循公平、公正、科学、择优的原则；</w:t>
      </w:r>
    </w:p>
    <w:p>
      <w:pPr>
        <w:numPr>
          <w:ilvl w:val="0"/>
          <w:numId w:val="3"/>
        </w:numPr>
        <w:spacing w:line="360" w:lineRule="auto"/>
        <w:ind w:left="0"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招标文件及澄清材料、投标文件是评标的首要依据，投标文件必须符合招标文件的要求；</w:t>
      </w:r>
    </w:p>
    <w:p>
      <w:pPr>
        <w:numPr>
          <w:ilvl w:val="0"/>
          <w:numId w:val="3"/>
        </w:numPr>
        <w:spacing w:line="360" w:lineRule="auto"/>
        <w:ind w:left="0"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国家有关法律、法规是评标的重要依据，评审结论应符合其规定。</w:t>
      </w:r>
    </w:p>
    <w:p>
      <w:pPr>
        <w:numPr>
          <w:ilvl w:val="0"/>
          <w:numId w:val="3"/>
        </w:numPr>
        <w:spacing w:line="360" w:lineRule="auto"/>
        <w:ind w:left="0"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评委会依据公平、公正、科学、择优的原则，对投标文件进行资格评审、符合性评审和详细评审推荐中标候选人；</w:t>
      </w:r>
    </w:p>
    <w:p>
      <w:pPr>
        <w:numPr>
          <w:ilvl w:val="0"/>
          <w:numId w:val="3"/>
        </w:numPr>
        <w:tabs>
          <w:tab w:val="left" w:pos="0"/>
        </w:tabs>
        <w:spacing w:line="360" w:lineRule="auto"/>
        <w:ind w:left="0" w:firstLine="480" w:firstLineChars="200"/>
        <w:textAlignment w:val="baseline"/>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反不正当竞争。</w:t>
      </w:r>
    </w:p>
    <w:p>
      <w:pPr>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（四）评标办法说明</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本次评标采用综合评分法，即：</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1、按照在本办法中规定的所有必须评价的项目及其相关的评价标准进行评审；</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2、按照本办法设定的评审标准及方法对投标人的投标文件进行评审；</w:t>
      </w:r>
    </w:p>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二、评标程序</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评标程序包括：评标准备、资格审查、符合性评审、投标报价评审、详细评审、询标(必要时)。</w:t>
      </w:r>
    </w:p>
    <w:p>
      <w:pPr>
        <w:spacing w:line="360" w:lineRule="auto"/>
        <w:ind w:firstLine="482" w:firstLineChars="200"/>
        <w:textAlignment w:val="baseline"/>
        <w:rPr>
          <w:rFonts w:ascii="仿宋" w:hAnsi="仿宋" w:eastAsia="仿宋" w:cs="仿宋"/>
          <w:b/>
          <w:color w:val="000000"/>
          <w:sz w:val="24"/>
          <w:highlight w:val="none"/>
        </w:rPr>
      </w:pPr>
      <w:r>
        <w:rPr>
          <w:rFonts w:hint="eastAsia" w:ascii="仿宋" w:hAnsi="仿宋" w:eastAsia="仿宋" w:cs="仿宋"/>
          <w:b/>
          <w:color w:val="000000"/>
          <w:sz w:val="24"/>
          <w:highlight w:val="none"/>
        </w:rPr>
        <w:t>（一）评标准备</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评委会召开全体成员会议，招标代理机构宣读评标纪律，民主产生评委会主任，宣读评标方案。评委会成员熟悉招标文件、评标办法、投标文件。</w:t>
      </w:r>
    </w:p>
    <w:p>
      <w:pPr>
        <w:spacing w:line="360" w:lineRule="auto"/>
        <w:ind w:firstLine="482" w:firstLineChars="200"/>
        <w:textAlignment w:val="baseline"/>
        <w:rPr>
          <w:rFonts w:ascii="仿宋" w:hAnsi="仿宋" w:eastAsia="仿宋" w:cs="仿宋"/>
          <w:b/>
          <w:color w:val="000000"/>
          <w:sz w:val="24"/>
          <w:highlight w:val="none"/>
        </w:rPr>
      </w:pPr>
      <w:r>
        <w:rPr>
          <w:rFonts w:hint="eastAsia" w:ascii="仿宋" w:hAnsi="仿宋" w:eastAsia="仿宋" w:cs="仿宋"/>
          <w:b/>
          <w:color w:val="000000"/>
          <w:sz w:val="24"/>
          <w:highlight w:val="none"/>
        </w:rPr>
        <w:t>（二）资格审查</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招标代理机构对投标人的资格进行审查，如投标人未按招标文件要求提供合格的资格证明文件，其投标将被拒绝。 </w:t>
      </w:r>
    </w:p>
    <w:p>
      <w:pPr>
        <w:spacing w:line="360" w:lineRule="auto"/>
        <w:ind w:firstLine="482" w:firstLineChars="200"/>
        <w:textAlignment w:val="baseline"/>
        <w:rPr>
          <w:rFonts w:ascii="仿宋" w:hAnsi="仿宋" w:eastAsia="仿宋" w:cs="仿宋"/>
          <w:b/>
          <w:color w:val="000000"/>
          <w:sz w:val="24"/>
          <w:highlight w:val="none"/>
        </w:rPr>
      </w:pPr>
      <w:r>
        <w:rPr>
          <w:rFonts w:hint="eastAsia" w:ascii="仿宋" w:hAnsi="仿宋" w:eastAsia="仿宋" w:cs="仿宋"/>
          <w:b/>
          <w:color w:val="000000"/>
          <w:sz w:val="24"/>
          <w:highlight w:val="none"/>
        </w:rPr>
        <w:t>（三）符合性评审</w:t>
      </w:r>
    </w:p>
    <w:p>
      <w:pPr>
        <w:spacing w:line="360" w:lineRule="auto"/>
        <w:ind w:firstLine="480" w:firstLineChars="200"/>
        <w:textAlignment w:val="baseline"/>
        <w:rPr>
          <w:rFonts w:ascii="仿宋" w:hAnsi="仿宋" w:eastAsia="仿宋" w:cs="仿宋"/>
          <w:b/>
          <w:color w:val="000000"/>
          <w:sz w:val="24"/>
          <w:highlight w:val="none"/>
        </w:rPr>
      </w:pPr>
      <w:r>
        <w:rPr>
          <w:rFonts w:hint="eastAsia" w:ascii="仿宋" w:hAnsi="仿宋" w:eastAsia="仿宋" w:cs="仿宋"/>
          <w:color w:val="000000"/>
          <w:sz w:val="24"/>
          <w:highlight w:val="none"/>
        </w:rPr>
        <w:t>评委会依据招标文件符合性评审表内容对投标文件进行评审。未通过符合性评审的投标不进入投标报价评审、详细评审。</w:t>
      </w:r>
    </w:p>
    <w:p>
      <w:pPr>
        <w:spacing w:line="360" w:lineRule="auto"/>
        <w:ind w:firstLine="482" w:firstLineChars="200"/>
        <w:textAlignment w:val="baseline"/>
        <w:rPr>
          <w:rFonts w:ascii="仿宋" w:hAnsi="仿宋" w:eastAsia="仿宋" w:cs="仿宋"/>
          <w:b/>
          <w:color w:val="000000"/>
          <w:sz w:val="24"/>
          <w:highlight w:val="none"/>
        </w:rPr>
      </w:pPr>
      <w:r>
        <w:rPr>
          <w:rFonts w:hint="eastAsia" w:ascii="仿宋" w:hAnsi="仿宋" w:eastAsia="仿宋" w:cs="仿宋"/>
          <w:b/>
          <w:color w:val="000000"/>
          <w:sz w:val="24"/>
          <w:highlight w:val="none"/>
        </w:rPr>
        <w:t>（四）投标报价评审、详细评审</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评标委员会对资格审查、符合性评审合格的投标采用综合评分法进行投标报价评审，提交评标报告。</w:t>
      </w:r>
    </w:p>
    <w:p>
      <w:pPr>
        <w:spacing w:line="360" w:lineRule="auto"/>
        <w:ind w:firstLine="482" w:firstLineChars="200"/>
        <w:textAlignment w:val="baseline"/>
        <w:rPr>
          <w:rFonts w:ascii="仿宋" w:hAnsi="仿宋" w:eastAsia="仿宋" w:cs="仿宋"/>
          <w:color w:val="000000"/>
          <w:sz w:val="24"/>
          <w:highlight w:val="none"/>
        </w:rPr>
      </w:pPr>
      <w:r>
        <w:rPr>
          <w:rFonts w:hint="eastAsia" w:ascii="仿宋" w:hAnsi="仿宋" w:eastAsia="仿宋" w:cs="仿宋"/>
          <w:b/>
          <w:color w:val="000000"/>
          <w:sz w:val="24"/>
          <w:highlight w:val="none"/>
        </w:rPr>
        <w:t>（五）询标(必要时)</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评委会对需要澄清的问题，采用集体询标的方式进行，要求投标人对询标问题以书面形式承诺。</w:t>
      </w:r>
    </w:p>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三、推荐中标候选人并编制评标报告</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（一）每位评委应按本办法分别进行独立评审，将每位评委的评审结果汇总并填入《评分汇总表》；</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（二）使用《评分汇总表》汇总各位评委对有效投标文件的评分；</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1、按最终得分从高到低确定投标人排序；</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2、得分相同的，按投标报价由低到高顺序排列；得分且投标报价相同的，按技术指标优劣顺序排列；</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（三）中标候选人数量3个，排名第一的中标候选人为预中标人。</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四）采购人应按评委会推荐的中标候选人顺序来确定中标人。除非该中标人因不可抗力或者自身原因不能履行政府采购合同的，采购人可以与排位在中标人之后第一位的中标候选人签订政府采购合同，以此类推。</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（五）评委会完成评标后，将向采购人提交书面评标报告，评标报告中将附上全部评标过程记录文件及结果文件。</w:t>
      </w:r>
    </w:p>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四、附 则</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（一）本办法附表中规定的项目标准及有关备注、附注等，应当做本办法的一部分来解读。任何人员在复制、使用这些表格格式时均不得擅自对此做出更改。</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（二）在评标过程中，如果评标委员会有确实证据证实投标人有影响评标结果的公正性的行为，评标委员会有权宣告其投标无效。</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（三）无论评审结果如何，采购人、招标代理机构无义务向投标人解释。投标人对评标结果有异议的，应以书面形式向采购人、招标代理机构提出。</w:t>
      </w:r>
    </w:p>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五、评标注意事项及纪律</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（一）评标必须依据招标文件及澄清材料，投标文件进行评标。</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（二）评委必须集中精力，公正地、不带任何倾向性地评标。</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（三）评委及工作人员从开标之后直至对中标人宣布授予合同之前，有关评标和授标建议的情况均不得向投标人或其他无关的人员透露。</w:t>
      </w:r>
    </w:p>
    <w:p>
      <w:pPr>
        <w:spacing w:line="360" w:lineRule="auto"/>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（四）采用集中方式评标，评委不得中途退场。评标期间不得单独同投标人接触，有澄清的问题必须采用集体询标的办法进行。</w:t>
      </w:r>
    </w:p>
    <w:p>
      <w:pPr>
        <w:spacing w:line="240" w:lineRule="atLeast"/>
        <w:ind w:firstLine="480" w:firstLineChars="200"/>
        <w:textAlignment w:val="baseline"/>
        <w:rPr>
          <w:rFonts w:ascii="仿宋" w:hAnsi="仿宋" w:eastAsia="仿宋" w:cs="仿宋"/>
          <w:color w:val="000000"/>
          <w:sz w:val="24"/>
          <w:highlight w:val="none"/>
        </w:rPr>
      </w:pPr>
      <w:r>
        <w:rPr>
          <w:rFonts w:hint="eastAsia" w:ascii="仿宋" w:hAnsi="仿宋" w:eastAsia="仿宋" w:cs="仿宋"/>
          <w:color w:val="000000"/>
          <w:sz w:val="24"/>
          <w:highlight w:val="none"/>
        </w:rPr>
        <w:t>（五）评标中，若发生意见不一致，由评标委员会成员以无记名投票的方式进行表决,少数服从多数。</w:t>
      </w:r>
    </w:p>
    <w:p>
      <w:pPr>
        <w:widowControl/>
        <w:spacing w:line="360" w:lineRule="auto"/>
        <w:ind w:firstLine="640" w:firstLineChars="200"/>
        <w:jc w:val="left"/>
        <w:rPr>
          <w:rFonts w:ascii="仿宋" w:hAnsi="仿宋" w:eastAsia="仿宋" w:cs="仿宋"/>
          <w:bCs/>
          <w:color w:val="000000"/>
          <w:sz w:val="32"/>
          <w:szCs w:val="32"/>
          <w:highlight w:val="none"/>
        </w:rPr>
      </w:pPr>
    </w:p>
    <w:p>
      <w:pPr>
        <w:adjustRightInd w:val="0"/>
        <w:spacing w:line="500" w:lineRule="exact"/>
        <w:ind w:firstLine="562" w:firstLineChars="200"/>
        <w:jc w:val="left"/>
        <w:textAlignment w:val="baseline"/>
        <w:rPr>
          <w:rFonts w:ascii="仿宋" w:hAnsi="仿宋" w:eastAsia="仿宋" w:cs="仿宋"/>
          <w:b/>
          <w:sz w:val="28"/>
          <w:szCs w:val="20"/>
          <w:highlight w:val="none"/>
        </w:rPr>
      </w:pPr>
    </w:p>
    <w:p>
      <w:pPr>
        <w:spacing w:line="360" w:lineRule="auto"/>
        <w:ind w:firstLine="480" w:firstLineChars="200"/>
        <w:textAlignment w:val="baseline"/>
        <w:rPr>
          <w:rFonts w:ascii="仿宋" w:hAnsi="仿宋" w:eastAsia="仿宋" w:cs="仿宋"/>
          <w:color w:val="000000"/>
          <w:sz w:val="24"/>
          <w:highlight w:val="none"/>
        </w:rPr>
      </w:pPr>
    </w:p>
    <w:p>
      <w:pPr>
        <w:widowControl/>
        <w:spacing w:line="360" w:lineRule="auto"/>
        <w:ind w:firstLine="470" w:firstLineChars="196"/>
        <w:jc w:val="left"/>
        <w:rPr>
          <w:rFonts w:ascii="仿宋" w:hAnsi="仿宋" w:eastAsia="仿宋" w:cs="仿宋"/>
          <w:color w:val="000000"/>
          <w:sz w:val="24"/>
          <w:highlight w:val="none"/>
        </w:rPr>
      </w:pPr>
    </w:p>
    <w:p>
      <w:pPr>
        <w:adjustRightInd w:val="0"/>
        <w:spacing w:line="360" w:lineRule="auto"/>
        <w:ind w:left="420"/>
        <w:jc w:val="center"/>
        <w:textAlignment w:val="baseline"/>
        <w:rPr>
          <w:rFonts w:ascii="仿宋" w:hAnsi="仿宋" w:eastAsia="仿宋" w:cs="仿宋"/>
          <w:b/>
          <w:color w:val="000000"/>
          <w:sz w:val="24"/>
          <w:highlight w:val="none"/>
        </w:rPr>
      </w:pPr>
      <w:r>
        <w:rPr>
          <w:rFonts w:hint="eastAsia" w:ascii="仿宋" w:hAnsi="仿宋" w:eastAsia="仿宋" w:cs="仿宋"/>
          <w:b/>
          <w:color w:val="000000"/>
          <w:sz w:val="24"/>
          <w:highlight w:val="none"/>
        </w:rPr>
        <w:br w:type="page"/>
      </w:r>
      <w:r>
        <w:rPr>
          <w:rFonts w:hint="eastAsia" w:ascii="仿宋" w:hAnsi="仿宋" w:eastAsia="仿宋" w:cs="仿宋"/>
          <w:b/>
          <w:color w:val="000000"/>
          <w:sz w:val="24"/>
          <w:highlight w:val="none"/>
        </w:rPr>
        <w:t>（一）资格审查表</w:t>
      </w:r>
    </w:p>
    <w:tbl>
      <w:tblPr>
        <w:tblStyle w:val="43"/>
        <w:tblW w:w="87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515"/>
        <w:gridCol w:w="4020"/>
        <w:gridCol w:w="2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tblHeader/>
        </w:trPr>
        <w:tc>
          <w:tcPr>
            <w:tcW w:w="582" w:type="dxa"/>
            <w:vAlign w:val="center"/>
          </w:tcPr>
          <w:p>
            <w:pPr>
              <w:spacing w:line="240" w:lineRule="atLeast"/>
              <w:jc w:val="center"/>
              <w:rPr>
                <w:rFonts w:ascii="仿宋" w:hAnsi="仿宋" w:eastAsia="仿宋" w:cs="仿宋"/>
                <w:sz w:val="24"/>
                <w:highlight w:val="none"/>
              </w:rPr>
            </w:pPr>
            <w:r>
              <w:rPr>
                <w:rFonts w:hint="eastAsia" w:ascii="仿宋" w:hAnsi="仿宋" w:eastAsia="仿宋" w:cs="仿宋"/>
                <w:sz w:val="24"/>
                <w:highlight w:val="none"/>
              </w:rPr>
              <w:t>序号</w:t>
            </w:r>
          </w:p>
        </w:tc>
        <w:tc>
          <w:tcPr>
            <w:tcW w:w="1515" w:type="dxa"/>
            <w:vAlign w:val="center"/>
          </w:tcPr>
          <w:p>
            <w:pPr>
              <w:spacing w:line="240" w:lineRule="atLeast"/>
              <w:jc w:val="center"/>
              <w:rPr>
                <w:rFonts w:ascii="仿宋" w:hAnsi="仿宋" w:eastAsia="仿宋" w:cs="仿宋"/>
                <w:sz w:val="24"/>
                <w:highlight w:val="none"/>
              </w:rPr>
            </w:pPr>
            <w:r>
              <w:rPr>
                <w:rFonts w:hint="eastAsia" w:ascii="仿宋" w:hAnsi="仿宋" w:eastAsia="仿宋" w:cs="仿宋"/>
                <w:sz w:val="24"/>
                <w:highlight w:val="none"/>
              </w:rPr>
              <w:t>项目内容</w:t>
            </w:r>
          </w:p>
        </w:tc>
        <w:tc>
          <w:tcPr>
            <w:tcW w:w="4020" w:type="dxa"/>
            <w:vAlign w:val="center"/>
          </w:tcPr>
          <w:p>
            <w:pPr>
              <w:spacing w:line="240" w:lineRule="atLeast"/>
              <w:jc w:val="center"/>
              <w:rPr>
                <w:rFonts w:ascii="仿宋" w:hAnsi="仿宋" w:eastAsia="仿宋" w:cs="仿宋"/>
                <w:sz w:val="24"/>
                <w:highlight w:val="none"/>
              </w:rPr>
            </w:pPr>
            <w:r>
              <w:rPr>
                <w:rFonts w:hint="eastAsia" w:ascii="仿宋" w:hAnsi="仿宋" w:eastAsia="仿宋" w:cs="仿宋"/>
                <w:sz w:val="24"/>
                <w:highlight w:val="none"/>
              </w:rPr>
              <w:t>合格条件及标准</w:t>
            </w:r>
          </w:p>
        </w:tc>
        <w:tc>
          <w:tcPr>
            <w:tcW w:w="2640" w:type="dxa"/>
            <w:vAlign w:val="center"/>
          </w:tcPr>
          <w:p>
            <w:pPr>
              <w:spacing w:line="240" w:lineRule="atLeast"/>
              <w:jc w:val="center"/>
              <w:rPr>
                <w:rFonts w:ascii="仿宋" w:hAnsi="仿宋" w:eastAsia="仿宋" w:cs="仿宋"/>
                <w:sz w:val="24"/>
                <w:highlight w:val="none"/>
              </w:rPr>
            </w:pPr>
            <w:r>
              <w:rPr>
                <w:rFonts w:hint="eastAsia" w:ascii="仿宋" w:hAnsi="仿宋" w:eastAsia="仿宋" w:cs="仿宋"/>
                <w:sz w:val="24"/>
                <w:highlight w:val="none"/>
              </w:rPr>
              <w:t>申请人具备的条件或说明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营业执照</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color w:val="000000"/>
                <w:sz w:val="24"/>
                <w:highlight w:val="none"/>
              </w:rPr>
              <w:t>具有独立法人资格，营业范围应满足投标申请人条件且年检合格、有效。</w:t>
            </w:r>
          </w:p>
        </w:tc>
        <w:tc>
          <w:tcPr>
            <w:tcW w:w="264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资质证书</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应具备人力资源和社会保障部门颁发的《劳务派遣经营许可证》和《人力资源服务许可证》。</w:t>
            </w:r>
          </w:p>
        </w:tc>
        <w:tc>
          <w:tcPr>
            <w:tcW w:w="264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法定代表人授权书</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按招标文件规定格式提供。</w:t>
            </w:r>
          </w:p>
        </w:tc>
        <w:tc>
          <w:tcPr>
            <w:tcW w:w="264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原件加盖投标人公章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纳税记录</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近一年任意三个月缴纳增值税、企业所得税的凭据。</w:t>
            </w:r>
          </w:p>
        </w:tc>
        <w:tc>
          <w:tcPr>
            <w:tcW w:w="264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社保记录</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近一年任意三个月缴纳社会保险专用收据或社会保险缴纳清单。</w:t>
            </w:r>
          </w:p>
        </w:tc>
        <w:tc>
          <w:tcPr>
            <w:tcW w:w="264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投标人的资信证明</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近一年（2020年）财务审计报告或基本</w:t>
            </w:r>
            <w:r>
              <w:rPr>
                <w:rFonts w:hint="eastAsia" w:ascii="仿宋" w:hAnsi="仿宋" w:eastAsia="仿宋" w:cs="仿宋"/>
                <w:sz w:val="24"/>
                <w:highlight w:val="none"/>
                <w:lang w:val="en-US" w:eastAsia="zh-CN"/>
              </w:rPr>
              <w:t>账</w:t>
            </w:r>
            <w:r>
              <w:rPr>
                <w:rFonts w:hint="eastAsia" w:ascii="仿宋" w:hAnsi="仿宋" w:eastAsia="仿宋" w:cs="仿宋"/>
                <w:sz w:val="24"/>
                <w:highlight w:val="none"/>
              </w:rPr>
              <w:t>户开户银行出具的资信证明。</w:t>
            </w:r>
          </w:p>
        </w:tc>
        <w:tc>
          <w:tcPr>
            <w:tcW w:w="264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82" w:type="dxa"/>
            <w:vAlign w:val="center"/>
          </w:tcPr>
          <w:p>
            <w:pPr>
              <w:numPr>
                <w:ilvl w:val="0"/>
                <w:numId w:val="4"/>
              </w:numPr>
              <w:tabs>
                <w:tab w:val="clear" w:pos="420"/>
              </w:tabs>
              <w:spacing w:line="240" w:lineRule="atLeast"/>
              <w:ind w:left="0" w:firstLine="0"/>
              <w:jc w:val="center"/>
              <w:rPr>
                <w:rFonts w:ascii="仿宋" w:hAnsi="仿宋" w:eastAsia="仿宋" w:cs="仿宋"/>
                <w:sz w:val="24"/>
                <w:highlight w:val="none"/>
              </w:rPr>
            </w:pPr>
          </w:p>
        </w:tc>
        <w:tc>
          <w:tcPr>
            <w:tcW w:w="1515" w:type="dxa"/>
            <w:vAlign w:val="center"/>
          </w:tcPr>
          <w:p>
            <w:pPr>
              <w:spacing w:line="240" w:lineRule="atLeast"/>
              <w:rPr>
                <w:rFonts w:ascii="仿宋" w:hAnsi="仿宋" w:eastAsia="仿宋" w:cs="仿宋"/>
                <w:sz w:val="24"/>
                <w:highlight w:val="none"/>
                <w:lang w:val="zh-CN"/>
              </w:rPr>
            </w:pPr>
            <w:r>
              <w:rPr>
                <w:rFonts w:hint="eastAsia" w:ascii="仿宋" w:hAnsi="仿宋" w:eastAsia="仿宋" w:cs="仿宋"/>
                <w:sz w:val="24"/>
                <w:highlight w:val="none"/>
                <w:lang w:val="zh-CN"/>
              </w:rPr>
              <w:t>信用记录</w:t>
            </w:r>
          </w:p>
        </w:tc>
        <w:tc>
          <w:tcPr>
            <w:tcW w:w="4020" w:type="dxa"/>
            <w:vAlign w:val="center"/>
          </w:tcPr>
          <w:p>
            <w:pPr>
              <w:spacing w:line="240" w:lineRule="atLeast"/>
              <w:rPr>
                <w:rFonts w:ascii="仿宋" w:hAnsi="仿宋" w:eastAsia="仿宋" w:cs="仿宋"/>
                <w:sz w:val="24"/>
                <w:highlight w:val="none"/>
                <w:lang w:val="zh-CN"/>
              </w:rPr>
            </w:pPr>
            <w:r>
              <w:rPr>
                <w:rFonts w:hint="eastAsia" w:ascii="仿宋" w:hAnsi="仿宋" w:eastAsia="仿宋" w:cs="仿宋"/>
                <w:sz w:val="24"/>
                <w:highlight w:val="none"/>
              </w:rPr>
              <w:t>信用中国或中国政府采购网信用记录网上截图。</w:t>
            </w:r>
          </w:p>
        </w:tc>
        <w:tc>
          <w:tcPr>
            <w:tcW w:w="2640" w:type="dxa"/>
            <w:vAlign w:val="center"/>
          </w:tcPr>
          <w:p>
            <w:pPr>
              <w:spacing w:line="240" w:lineRule="atLeast"/>
              <w:rPr>
                <w:rFonts w:ascii="仿宋" w:hAnsi="仿宋" w:eastAsia="仿宋" w:cs="仿宋"/>
                <w:sz w:val="24"/>
                <w:highlight w:val="none"/>
                <w:lang w:val="zh-CN"/>
              </w:rPr>
            </w:pPr>
            <w:r>
              <w:rPr>
                <w:rFonts w:hint="eastAsia" w:ascii="仿宋" w:hAnsi="仿宋" w:eastAsia="仿宋" w:cs="仿宋"/>
                <w:sz w:val="24"/>
                <w:highlight w:val="none"/>
              </w:rPr>
              <w:t>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097" w:type="dxa"/>
            <w:gridSpan w:val="2"/>
            <w:vAlign w:val="center"/>
          </w:tcPr>
          <w:p>
            <w:pPr>
              <w:spacing w:line="240" w:lineRule="atLeast"/>
              <w:jc w:val="center"/>
              <w:rPr>
                <w:rFonts w:ascii="仿宋" w:hAnsi="仿宋" w:eastAsia="仿宋" w:cs="仿宋"/>
                <w:sz w:val="24"/>
                <w:highlight w:val="none"/>
              </w:rPr>
            </w:pPr>
            <w:r>
              <w:rPr>
                <w:rFonts w:hint="eastAsia" w:ascii="仿宋" w:hAnsi="仿宋" w:eastAsia="仿宋" w:cs="仿宋"/>
                <w:sz w:val="24"/>
                <w:highlight w:val="none"/>
              </w:rPr>
              <w:t>备注</w:t>
            </w:r>
          </w:p>
        </w:tc>
        <w:tc>
          <w:tcPr>
            <w:tcW w:w="4020" w:type="dxa"/>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上述内容有一项不合格，即为资格审查不合格，不进入下一阶段评审。</w:t>
            </w:r>
          </w:p>
        </w:tc>
        <w:tc>
          <w:tcPr>
            <w:tcW w:w="2640" w:type="dxa"/>
            <w:vAlign w:val="center"/>
          </w:tcPr>
          <w:p>
            <w:pPr>
              <w:spacing w:line="240" w:lineRule="atLeast"/>
              <w:rPr>
                <w:rFonts w:ascii="仿宋" w:hAnsi="仿宋" w:eastAsia="仿宋" w:cs="仿宋"/>
                <w:sz w:val="24"/>
                <w:highlight w:val="none"/>
              </w:rPr>
            </w:pPr>
          </w:p>
        </w:tc>
      </w:tr>
    </w:tbl>
    <w:p>
      <w:pPr>
        <w:adjustRightInd w:val="0"/>
        <w:spacing w:line="360" w:lineRule="auto"/>
        <w:jc w:val="left"/>
        <w:textAlignment w:val="baseline"/>
        <w:rPr>
          <w:rFonts w:ascii="仿宋" w:hAnsi="仿宋" w:eastAsia="仿宋" w:cs="仿宋"/>
          <w:bCs/>
          <w:color w:val="000000"/>
          <w:sz w:val="24"/>
          <w:highlight w:val="none"/>
        </w:rPr>
      </w:pPr>
      <w:r>
        <w:rPr>
          <w:rFonts w:hint="eastAsia" w:ascii="仿宋" w:hAnsi="仿宋" w:eastAsia="仿宋" w:cs="仿宋"/>
          <w:bCs/>
          <w:color w:val="000000"/>
          <w:sz w:val="24"/>
          <w:highlight w:val="none"/>
        </w:rPr>
        <w:t>注：1、营业执照、组织机构代码证与税务登记证实行“三证合一”的执行《国务院办公厅关于加快推进“三证合一”登记制度改革的意见》国办发〔2015〕50号。</w:t>
      </w:r>
    </w:p>
    <w:p>
      <w:pPr>
        <w:adjustRightInd w:val="0"/>
        <w:spacing w:line="360" w:lineRule="auto"/>
        <w:jc w:val="left"/>
        <w:textAlignment w:val="baseline"/>
        <w:rPr>
          <w:rFonts w:ascii="仿宋" w:hAnsi="仿宋" w:eastAsia="仿宋" w:cs="仿宋"/>
          <w:b/>
          <w:color w:val="000000"/>
          <w:sz w:val="24"/>
          <w:highlight w:val="none"/>
        </w:rPr>
      </w:pPr>
      <w:r>
        <w:rPr>
          <w:rFonts w:hint="eastAsia" w:ascii="仿宋" w:hAnsi="仿宋" w:eastAsia="仿宋" w:cs="仿宋"/>
          <w:bCs/>
          <w:color w:val="000000"/>
          <w:sz w:val="24"/>
          <w:highlight w:val="none"/>
        </w:rPr>
        <w:t>2、根据中华人民共和国财政部令第87号 《政府采购货物和服务招标投标管理办法》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jc w:val="center"/>
        <w:textAlignment w:val="baseline"/>
        <w:rPr>
          <w:rFonts w:ascii="仿宋" w:hAnsi="仿宋" w:eastAsia="仿宋" w:cs="仿宋"/>
          <w:b/>
          <w:color w:val="000000"/>
          <w:sz w:val="24"/>
          <w:highlight w:val="none"/>
        </w:rPr>
      </w:pPr>
      <w:r>
        <w:rPr>
          <w:rFonts w:hint="eastAsia" w:ascii="仿宋" w:hAnsi="仿宋" w:eastAsia="仿宋" w:cs="仿宋"/>
          <w:b/>
          <w:color w:val="000000"/>
          <w:sz w:val="24"/>
          <w:highlight w:val="none"/>
        </w:rPr>
        <w:br w:type="page"/>
      </w:r>
      <w:r>
        <w:rPr>
          <w:rFonts w:hint="eastAsia" w:ascii="仿宋" w:hAnsi="仿宋" w:eastAsia="仿宋" w:cs="仿宋"/>
          <w:b/>
          <w:color w:val="000000"/>
          <w:sz w:val="24"/>
          <w:highlight w:val="none"/>
        </w:rPr>
        <w:t>（二）符合性评审表</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811"/>
        <w:gridCol w:w="3003"/>
        <w:gridCol w:w="2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atLeast"/>
          <w:tblHeader/>
          <w:jc w:val="center"/>
        </w:trPr>
        <w:tc>
          <w:tcPr>
            <w:tcW w:w="670" w:type="dxa"/>
            <w:vAlign w:val="center"/>
          </w:tcPr>
          <w:p>
            <w:pPr>
              <w:spacing w:line="240" w:lineRule="atLeast"/>
              <w:jc w:val="center"/>
              <w:rPr>
                <w:rFonts w:ascii="仿宋" w:hAnsi="仿宋" w:eastAsia="仿宋" w:cs="仿宋"/>
                <w:bCs/>
                <w:color w:val="000000"/>
                <w:sz w:val="24"/>
                <w:highlight w:val="none"/>
              </w:rPr>
            </w:pPr>
            <w:r>
              <w:rPr>
                <w:rFonts w:hint="eastAsia" w:ascii="仿宋" w:hAnsi="仿宋" w:eastAsia="仿宋" w:cs="仿宋"/>
                <w:bCs/>
                <w:color w:val="000000"/>
                <w:sz w:val="24"/>
                <w:highlight w:val="none"/>
              </w:rPr>
              <w:t>序号</w:t>
            </w:r>
          </w:p>
        </w:tc>
        <w:tc>
          <w:tcPr>
            <w:tcW w:w="2811" w:type="dxa"/>
            <w:vAlign w:val="center"/>
          </w:tcPr>
          <w:p>
            <w:pPr>
              <w:spacing w:line="240" w:lineRule="atLeast"/>
              <w:jc w:val="center"/>
              <w:rPr>
                <w:rFonts w:ascii="仿宋" w:hAnsi="仿宋" w:eastAsia="仿宋" w:cs="仿宋"/>
                <w:bCs/>
                <w:color w:val="000000"/>
                <w:sz w:val="24"/>
                <w:highlight w:val="none"/>
              </w:rPr>
            </w:pPr>
            <w:r>
              <w:rPr>
                <w:rFonts w:hint="eastAsia" w:ascii="仿宋" w:hAnsi="仿宋" w:eastAsia="仿宋" w:cs="仿宋"/>
                <w:bCs/>
                <w:color w:val="000000"/>
                <w:sz w:val="24"/>
                <w:highlight w:val="none"/>
              </w:rPr>
              <w:t>项目内容</w:t>
            </w:r>
          </w:p>
        </w:tc>
        <w:tc>
          <w:tcPr>
            <w:tcW w:w="3003" w:type="dxa"/>
            <w:vAlign w:val="center"/>
          </w:tcPr>
          <w:p>
            <w:pPr>
              <w:spacing w:line="240" w:lineRule="atLeast"/>
              <w:jc w:val="center"/>
              <w:rPr>
                <w:rFonts w:ascii="仿宋" w:hAnsi="仿宋" w:eastAsia="仿宋" w:cs="仿宋"/>
                <w:bCs/>
                <w:color w:val="000000"/>
                <w:sz w:val="24"/>
                <w:highlight w:val="none"/>
              </w:rPr>
            </w:pPr>
            <w:r>
              <w:rPr>
                <w:rFonts w:hint="eastAsia" w:ascii="仿宋" w:hAnsi="仿宋" w:eastAsia="仿宋" w:cs="仿宋"/>
                <w:bCs/>
                <w:color w:val="000000"/>
                <w:sz w:val="24"/>
                <w:highlight w:val="none"/>
              </w:rPr>
              <w:t>合格条件及标准</w:t>
            </w:r>
          </w:p>
        </w:tc>
        <w:tc>
          <w:tcPr>
            <w:tcW w:w="2044" w:type="dxa"/>
            <w:vAlign w:val="center"/>
          </w:tcPr>
          <w:p>
            <w:pPr>
              <w:spacing w:line="240" w:lineRule="atLeast"/>
              <w:jc w:val="center"/>
              <w:rPr>
                <w:rFonts w:ascii="仿宋" w:hAnsi="仿宋" w:eastAsia="仿宋" w:cs="仿宋"/>
                <w:bCs/>
                <w:color w:val="000000"/>
                <w:sz w:val="24"/>
                <w:highlight w:val="none"/>
              </w:rPr>
            </w:pPr>
            <w:r>
              <w:rPr>
                <w:rFonts w:hint="eastAsia" w:ascii="仿宋" w:hAnsi="仿宋" w:eastAsia="仿宋" w:cs="仿宋"/>
                <w:bCs/>
                <w:color w:val="000000"/>
                <w:sz w:val="24"/>
                <w:highlight w:val="none"/>
              </w:rPr>
              <w:t>申请人具备的条件或说明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投标函</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按招标文件规定格式提供</w:t>
            </w:r>
          </w:p>
        </w:tc>
        <w:tc>
          <w:tcPr>
            <w:tcW w:w="2044"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原件加盖投标人公章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投标报价</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未超过财政预算</w:t>
            </w:r>
          </w:p>
        </w:tc>
        <w:tc>
          <w:tcPr>
            <w:tcW w:w="2044"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开标一览表原件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投标保证金</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按招标文件规定的金额和形式提供</w:t>
            </w:r>
          </w:p>
        </w:tc>
        <w:tc>
          <w:tcPr>
            <w:tcW w:w="2044"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电汇或转账凭证复印件加盖投标人公章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投标有效期</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满足招标文件要求</w:t>
            </w:r>
          </w:p>
        </w:tc>
        <w:tc>
          <w:tcPr>
            <w:tcW w:w="2044" w:type="dxa"/>
            <w:vAlign w:val="center"/>
          </w:tcPr>
          <w:p>
            <w:pPr>
              <w:spacing w:line="240" w:lineRule="atLeast"/>
              <w:rPr>
                <w:rFonts w:ascii="仿宋" w:hAnsi="仿宋" w:eastAsia="仿宋" w:cs="仿宋"/>
                <w:bCs/>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sz w:val="24"/>
                <w:highlight w:val="none"/>
              </w:rPr>
              <w:t>投标文件技术部分与招标文件是否偏离</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技术条款无负偏离</w:t>
            </w:r>
          </w:p>
        </w:tc>
        <w:tc>
          <w:tcPr>
            <w:tcW w:w="2044" w:type="dxa"/>
            <w:vAlign w:val="center"/>
          </w:tcPr>
          <w:p>
            <w:pPr>
              <w:spacing w:line="240" w:lineRule="atLeast"/>
              <w:rPr>
                <w:rFonts w:ascii="仿宋" w:hAnsi="仿宋" w:eastAsia="仿宋" w:cs="仿宋"/>
                <w:bCs/>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sz w:val="24"/>
                <w:highlight w:val="none"/>
              </w:rPr>
              <w:t>投标文件商务部分与招标文件是否偏离</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商务条款无实质性偏离</w:t>
            </w:r>
          </w:p>
        </w:tc>
        <w:tc>
          <w:tcPr>
            <w:tcW w:w="2044" w:type="dxa"/>
            <w:vAlign w:val="center"/>
          </w:tcPr>
          <w:p>
            <w:pPr>
              <w:spacing w:line="240" w:lineRule="atLeast"/>
              <w:rPr>
                <w:rFonts w:ascii="仿宋" w:hAnsi="仿宋" w:eastAsia="仿宋" w:cs="仿宋"/>
                <w:bCs/>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投标文件盖章、签署是否符合招标文件要求</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满足招标文件要求</w:t>
            </w:r>
          </w:p>
        </w:tc>
        <w:tc>
          <w:tcPr>
            <w:tcW w:w="2044" w:type="dxa"/>
            <w:vAlign w:val="center"/>
          </w:tcPr>
          <w:p>
            <w:pPr>
              <w:spacing w:line="240" w:lineRule="atLeast"/>
              <w:rPr>
                <w:rFonts w:ascii="仿宋" w:hAnsi="仿宋" w:eastAsia="仿宋" w:cs="仿宋"/>
                <w:bCs/>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是否存在采购人无法接受的条件</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不存在采购人无法接受的条件</w:t>
            </w:r>
          </w:p>
        </w:tc>
        <w:tc>
          <w:tcPr>
            <w:tcW w:w="2044" w:type="dxa"/>
            <w:vAlign w:val="center"/>
          </w:tcPr>
          <w:p>
            <w:pPr>
              <w:spacing w:line="240" w:lineRule="atLeast"/>
              <w:rPr>
                <w:rFonts w:ascii="仿宋" w:hAnsi="仿宋" w:eastAsia="仿宋" w:cs="仿宋"/>
                <w:bCs/>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70" w:type="dxa"/>
            <w:vAlign w:val="center"/>
          </w:tcPr>
          <w:p>
            <w:pPr>
              <w:numPr>
                <w:ilvl w:val="0"/>
                <w:numId w:val="5"/>
              </w:numPr>
              <w:tabs>
                <w:tab w:val="clear" w:pos="420"/>
              </w:tabs>
              <w:spacing w:line="240" w:lineRule="atLeast"/>
              <w:jc w:val="center"/>
              <w:rPr>
                <w:rFonts w:ascii="仿宋" w:hAnsi="仿宋" w:eastAsia="仿宋" w:cs="仿宋"/>
                <w:bCs/>
                <w:color w:val="000000"/>
                <w:sz w:val="24"/>
                <w:highlight w:val="none"/>
              </w:rPr>
            </w:pPr>
          </w:p>
        </w:tc>
        <w:tc>
          <w:tcPr>
            <w:tcW w:w="2811"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中小企业声明函</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满足招标文件要求</w:t>
            </w:r>
          </w:p>
        </w:tc>
        <w:tc>
          <w:tcPr>
            <w:tcW w:w="2044" w:type="dxa"/>
            <w:vAlign w:val="center"/>
          </w:tcPr>
          <w:p>
            <w:pPr>
              <w:spacing w:line="240" w:lineRule="atLeast"/>
              <w:rPr>
                <w:rFonts w:ascii="仿宋" w:hAnsi="仿宋" w:eastAsia="仿宋" w:cs="仿宋"/>
                <w:bCs/>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3481" w:type="dxa"/>
            <w:gridSpan w:val="2"/>
            <w:vAlign w:val="center"/>
          </w:tcPr>
          <w:p>
            <w:pPr>
              <w:spacing w:line="240" w:lineRule="atLeast"/>
              <w:jc w:val="center"/>
              <w:rPr>
                <w:rFonts w:ascii="仿宋" w:hAnsi="仿宋" w:eastAsia="仿宋" w:cs="仿宋"/>
                <w:bCs/>
                <w:color w:val="000000"/>
                <w:sz w:val="24"/>
                <w:highlight w:val="none"/>
              </w:rPr>
            </w:pPr>
            <w:r>
              <w:rPr>
                <w:rFonts w:hint="eastAsia" w:ascii="仿宋" w:hAnsi="仿宋" w:eastAsia="仿宋" w:cs="仿宋"/>
                <w:bCs/>
                <w:color w:val="000000"/>
                <w:sz w:val="24"/>
                <w:highlight w:val="none"/>
              </w:rPr>
              <w:t>备注</w:t>
            </w:r>
          </w:p>
        </w:tc>
        <w:tc>
          <w:tcPr>
            <w:tcW w:w="3003" w:type="dxa"/>
            <w:vAlign w:val="center"/>
          </w:tcPr>
          <w:p>
            <w:pPr>
              <w:spacing w:line="240" w:lineRule="atLeast"/>
              <w:rPr>
                <w:rFonts w:ascii="仿宋" w:hAnsi="仿宋" w:eastAsia="仿宋" w:cs="仿宋"/>
                <w:bCs/>
                <w:color w:val="000000"/>
                <w:sz w:val="24"/>
                <w:highlight w:val="none"/>
              </w:rPr>
            </w:pPr>
            <w:r>
              <w:rPr>
                <w:rFonts w:hint="eastAsia" w:ascii="仿宋" w:hAnsi="仿宋" w:eastAsia="仿宋" w:cs="仿宋"/>
                <w:bCs/>
                <w:color w:val="000000"/>
                <w:sz w:val="24"/>
                <w:highlight w:val="none"/>
              </w:rPr>
              <w:t>上述内容有一项不合格，即为符合性检查不合格，不进入下一阶段评审。</w:t>
            </w:r>
          </w:p>
        </w:tc>
        <w:tc>
          <w:tcPr>
            <w:tcW w:w="2044" w:type="dxa"/>
            <w:vAlign w:val="center"/>
          </w:tcPr>
          <w:p>
            <w:pPr>
              <w:spacing w:line="240" w:lineRule="atLeast"/>
              <w:rPr>
                <w:rFonts w:ascii="仿宋" w:hAnsi="仿宋" w:eastAsia="仿宋" w:cs="仿宋"/>
                <w:bCs/>
                <w:color w:val="000000"/>
                <w:sz w:val="24"/>
                <w:highlight w:val="none"/>
              </w:rPr>
            </w:pPr>
          </w:p>
        </w:tc>
      </w:tr>
      <w:bookmarkEnd w:id="250"/>
    </w:tbl>
    <w:p>
      <w:pPr>
        <w:pStyle w:val="16"/>
        <w:spacing w:line="240" w:lineRule="atLeast"/>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注：1.根据《政府采购促进中小企业发展管理办法》（财库[2020]46号）、《财政部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对于同时属于小微企业、监狱企业或残疾人福利性单位的，不重复进行投标报价扣除。</w:t>
      </w:r>
    </w:p>
    <w:p>
      <w:pPr>
        <w:pStyle w:val="16"/>
        <w:spacing w:line="240" w:lineRule="atLeast"/>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2.联合协议中约定，小型、微型企业和监狱企业的协议合同金额占到联合体协议合同总金额30%以上的，可给予联合体2%的价格扣除。</w:t>
      </w:r>
    </w:p>
    <w:p>
      <w:pPr>
        <w:pStyle w:val="16"/>
        <w:spacing w:line="240" w:lineRule="atLeast"/>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联合体各方均为小型、微型企业和监狱企业的，联合体视同为小型、微型企业和监狱企业。</w:t>
      </w:r>
    </w:p>
    <w:p>
      <w:pPr>
        <w:pStyle w:val="16"/>
        <w:spacing w:line="240" w:lineRule="atLeast"/>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3.投标人所投产品如被列入财政部与国家主管部门颁发的节能产品目录或环境标志产品目录或无线局域网产品目录，应提供相关证明，在评标时予以优先采购。</w:t>
      </w:r>
    </w:p>
    <w:p>
      <w:pPr>
        <w:pStyle w:val="16"/>
        <w:spacing w:line="240" w:lineRule="atLeast"/>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4.如采购人所采购产品为政府强制采购的节能产品，投标人所投产品的品牌及型号必须为清单中有效期内产品并提供证明文件，否则其投标将作为无效投标被拒绝。</w:t>
      </w:r>
    </w:p>
    <w:p>
      <w:pPr>
        <w:rPr>
          <w:rFonts w:ascii="仿宋" w:hAnsi="仿宋" w:eastAsia="仿宋" w:cs="仿宋"/>
          <w:color w:val="000000"/>
          <w:highlight w:val="none"/>
        </w:rPr>
      </w:pPr>
    </w:p>
    <w:p>
      <w:pPr>
        <w:pStyle w:val="16"/>
        <w:spacing w:line="240" w:lineRule="atLeast"/>
        <w:jc w:val="center"/>
        <w:rPr>
          <w:rFonts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br w:type="page"/>
      </w:r>
      <w:r>
        <w:rPr>
          <w:rFonts w:hint="eastAsia" w:ascii="仿宋" w:hAnsi="仿宋" w:eastAsia="仿宋" w:cs="仿宋"/>
          <w:b/>
          <w:color w:val="000000"/>
          <w:sz w:val="30"/>
          <w:szCs w:val="30"/>
          <w:highlight w:val="none"/>
        </w:rPr>
        <w:t>详细评审</w:t>
      </w:r>
    </w:p>
    <w:tbl>
      <w:tblPr>
        <w:tblStyle w:val="43"/>
        <w:tblW w:w="843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869"/>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92" w:type="dxa"/>
            <w:vAlign w:val="center"/>
          </w:tcPr>
          <w:p>
            <w:pPr>
              <w:spacing w:line="240" w:lineRule="atLeast"/>
              <w:jc w:val="center"/>
              <w:rPr>
                <w:rFonts w:ascii="仿宋" w:hAnsi="仿宋" w:eastAsia="仿宋" w:cs="仿宋"/>
                <w:b/>
                <w:bCs/>
                <w:szCs w:val="21"/>
                <w:highlight w:val="none"/>
              </w:rPr>
            </w:pPr>
            <w:r>
              <w:rPr>
                <w:rFonts w:hint="eastAsia" w:ascii="仿宋" w:hAnsi="仿宋" w:eastAsia="仿宋" w:cs="仿宋"/>
                <w:b/>
                <w:bCs/>
                <w:szCs w:val="21"/>
                <w:highlight w:val="none"/>
              </w:rPr>
              <w:t>序号</w:t>
            </w:r>
          </w:p>
        </w:tc>
        <w:tc>
          <w:tcPr>
            <w:tcW w:w="7347" w:type="dxa"/>
            <w:gridSpan w:val="2"/>
            <w:vAlign w:val="center"/>
          </w:tcPr>
          <w:p>
            <w:pPr>
              <w:spacing w:line="240" w:lineRule="atLeast"/>
              <w:jc w:val="center"/>
              <w:rPr>
                <w:rFonts w:ascii="仿宋" w:hAnsi="仿宋" w:eastAsia="仿宋" w:cs="仿宋"/>
                <w:b/>
                <w:bCs/>
                <w:szCs w:val="21"/>
                <w:highlight w:val="none"/>
              </w:rPr>
            </w:pPr>
            <w:r>
              <w:rPr>
                <w:rFonts w:hint="eastAsia" w:ascii="仿宋" w:hAnsi="仿宋" w:eastAsia="仿宋" w:cs="仿宋"/>
                <w:b/>
                <w:bCs/>
                <w:szCs w:val="21"/>
                <w:highlight w:val="none"/>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1092" w:type="dxa"/>
            <w:vAlign w:val="center"/>
          </w:tcPr>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投</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标</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报</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价</w:t>
            </w:r>
          </w:p>
          <w:p>
            <w:pPr>
              <w:spacing w:line="240" w:lineRule="atLeast"/>
              <w:jc w:val="center"/>
              <w:rPr>
                <w:rFonts w:ascii="仿宋" w:hAnsi="仿宋" w:eastAsia="仿宋" w:cs="仿宋"/>
                <w:b/>
                <w:bCs/>
                <w:szCs w:val="21"/>
                <w:highlight w:val="none"/>
              </w:rPr>
            </w:pPr>
            <w:r>
              <w:rPr>
                <w:rFonts w:hint="eastAsia" w:ascii="仿宋" w:hAnsi="仿宋" w:eastAsia="仿宋" w:cs="仿宋"/>
                <w:szCs w:val="21"/>
                <w:highlight w:val="none"/>
              </w:rPr>
              <w:t>（10分）</w:t>
            </w:r>
          </w:p>
        </w:tc>
        <w:tc>
          <w:tcPr>
            <w:tcW w:w="1869" w:type="dxa"/>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szCs w:val="21"/>
                <w:highlight w:val="none"/>
              </w:rPr>
              <w:t>投标报价</w:t>
            </w:r>
          </w:p>
          <w:p>
            <w:pPr>
              <w:widowControl/>
              <w:jc w:val="center"/>
              <w:textAlignment w:val="center"/>
              <w:rPr>
                <w:rFonts w:ascii="仿宋" w:hAnsi="仿宋" w:eastAsia="仿宋" w:cs="仿宋"/>
                <w:b/>
                <w:bCs/>
                <w:szCs w:val="21"/>
                <w:highlight w:val="none"/>
              </w:rPr>
            </w:pPr>
            <w:r>
              <w:rPr>
                <w:rFonts w:hint="eastAsia" w:ascii="仿宋" w:hAnsi="仿宋" w:eastAsia="仿宋" w:cs="仿宋"/>
                <w:szCs w:val="21"/>
                <w:highlight w:val="none"/>
              </w:rPr>
              <w:t>（10分）</w:t>
            </w:r>
          </w:p>
        </w:tc>
        <w:tc>
          <w:tcPr>
            <w:tcW w:w="5478" w:type="dxa"/>
            <w:vAlign w:val="center"/>
          </w:tcPr>
          <w:p>
            <w:pPr>
              <w:spacing w:beforeLines="50"/>
              <w:rPr>
                <w:rFonts w:ascii="仿宋" w:hAnsi="仿宋" w:eastAsia="仿宋" w:cs="仿宋"/>
                <w:kern w:val="0"/>
                <w:szCs w:val="21"/>
                <w:highlight w:val="none"/>
              </w:rPr>
            </w:pPr>
            <w:r>
              <w:rPr>
                <w:rFonts w:hint="eastAsia" w:ascii="仿宋" w:hAnsi="仿宋" w:eastAsia="仿宋" w:cs="仿宋"/>
                <w:kern w:val="0"/>
                <w:szCs w:val="21"/>
                <w:highlight w:val="none"/>
              </w:rPr>
              <w:t>有效报价：指按招标文件规定的所有项目的报价为完整、合理且不高于采购预算的并且</w:t>
            </w:r>
            <w:r>
              <w:rPr>
                <w:rFonts w:hint="eastAsia" w:ascii="仿宋" w:hAnsi="仿宋" w:eastAsia="仿宋" w:cs="仿宋"/>
                <w:color w:val="000000"/>
                <w:szCs w:val="21"/>
                <w:highlight w:val="none"/>
              </w:rPr>
              <w:t>通过初步审查的投标报价</w:t>
            </w:r>
            <w:r>
              <w:rPr>
                <w:rFonts w:hint="eastAsia" w:ascii="仿宋" w:hAnsi="仿宋" w:eastAsia="仿宋" w:cs="仿宋"/>
                <w:kern w:val="0"/>
                <w:szCs w:val="21"/>
                <w:highlight w:val="none"/>
              </w:rPr>
              <w:t>。</w:t>
            </w:r>
          </w:p>
          <w:p>
            <w:pPr>
              <w:spacing w:beforeLines="50"/>
              <w:rPr>
                <w:rFonts w:ascii="仿宋" w:hAnsi="仿宋" w:eastAsia="仿宋" w:cs="仿宋"/>
                <w:kern w:val="0"/>
                <w:szCs w:val="21"/>
                <w:highlight w:val="none"/>
              </w:rPr>
            </w:pPr>
            <w:r>
              <w:rPr>
                <w:rFonts w:hint="eastAsia" w:ascii="仿宋" w:hAnsi="仿宋" w:eastAsia="仿宋" w:cs="仿宋"/>
                <w:kern w:val="0"/>
                <w:szCs w:val="21"/>
                <w:highlight w:val="none"/>
              </w:rPr>
              <w:t>评标基准价：评标基准价为所有的投标有效报价的最低报价。</w:t>
            </w:r>
          </w:p>
          <w:p>
            <w:pPr>
              <w:spacing w:beforeLines="50"/>
              <w:rPr>
                <w:rFonts w:ascii="仿宋" w:hAnsi="仿宋" w:eastAsia="仿宋" w:cs="仿宋"/>
                <w:kern w:val="0"/>
                <w:szCs w:val="21"/>
                <w:highlight w:val="none"/>
              </w:rPr>
            </w:pPr>
            <w:r>
              <w:rPr>
                <w:rFonts w:hint="eastAsia" w:ascii="仿宋" w:hAnsi="仿宋" w:eastAsia="仿宋" w:cs="仿宋"/>
                <w:kern w:val="0"/>
                <w:szCs w:val="21"/>
                <w:highlight w:val="none"/>
              </w:rPr>
              <w:t>投标报价得分：有效投标报价等于评标基准价得满分10分，其他投标人的价格分统一按照下列公式计算：</w:t>
            </w:r>
          </w:p>
          <w:p>
            <w:pPr>
              <w:widowControl/>
              <w:textAlignment w:val="center"/>
              <w:rPr>
                <w:rFonts w:ascii="仿宋" w:hAnsi="仿宋" w:eastAsia="仿宋" w:cs="仿宋"/>
                <w:b/>
                <w:bCs/>
                <w:szCs w:val="21"/>
                <w:highlight w:val="none"/>
              </w:rPr>
            </w:pPr>
            <w:r>
              <w:rPr>
                <w:rFonts w:hint="eastAsia" w:ascii="仿宋" w:hAnsi="仿宋" w:eastAsia="仿宋" w:cs="仿宋"/>
                <w:kern w:val="0"/>
                <w:szCs w:val="21"/>
                <w:highlight w:val="none"/>
              </w:rPr>
              <w:t>投标报价得分=(评标基准价／投标报价)×10（计算至小数点后两位，下同)，本项得分最高分为10分，最低为零分，不计负分。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restart"/>
            <w:vAlign w:val="center"/>
          </w:tcPr>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技</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术</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部</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分</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（50分）</w:t>
            </w: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服务方案（</w:t>
            </w:r>
            <w:r>
              <w:rPr>
                <w:rFonts w:hint="eastAsia" w:ascii="仿宋" w:hAnsi="仿宋" w:eastAsia="仿宋" w:cs="仿宋"/>
                <w:bCs/>
                <w:szCs w:val="21"/>
                <w:highlight w:val="none"/>
              </w:rPr>
              <w:t>15</w:t>
            </w:r>
            <w:r>
              <w:rPr>
                <w:rFonts w:hint="eastAsia" w:ascii="仿宋" w:hAnsi="仿宋" w:eastAsia="仿宋" w:cs="仿宋"/>
                <w:bCs/>
                <w:szCs w:val="21"/>
                <w:highlight w:val="none"/>
                <w:lang w:val="zh-CN"/>
              </w:rPr>
              <w:t>分）</w:t>
            </w:r>
          </w:p>
        </w:tc>
        <w:tc>
          <w:tcPr>
            <w:tcW w:w="5478" w:type="dxa"/>
            <w:vAlign w:val="center"/>
          </w:tcPr>
          <w:p>
            <w:pPr>
              <w:autoSpaceDE w:val="0"/>
              <w:autoSpaceDN w:val="0"/>
              <w:adjustRightInd w:val="0"/>
              <w:spacing w:line="240" w:lineRule="atLeast"/>
              <w:rPr>
                <w:rFonts w:ascii="仿宋" w:hAnsi="仿宋" w:eastAsia="仿宋" w:cs="仿宋"/>
                <w:bCs/>
                <w:szCs w:val="21"/>
                <w:highlight w:val="none"/>
                <w:lang w:val="zh-CN"/>
              </w:rPr>
            </w:pPr>
            <w:r>
              <w:rPr>
                <w:rFonts w:hint="eastAsia" w:ascii="仿宋" w:hAnsi="仿宋" w:eastAsia="仿宋" w:cs="仿宋"/>
                <w:bCs/>
                <w:szCs w:val="21"/>
                <w:highlight w:val="none"/>
                <w:lang w:val="zh-CN"/>
              </w:rPr>
              <w:t>服务方案：优得</w:t>
            </w:r>
            <w:r>
              <w:rPr>
                <w:rFonts w:hint="eastAsia" w:ascii="仿宋" w:hAnsi="仿宋" w:eastAsia="仿宋" w:cs="仿宋"/>
                <w:bCs/>
                <w:szCs w:val="21"/>
                <w:highlight w:val="none"/>
              </w:rPr>
              <w:t>11</w:t>
            </w:r>
            <w:r>
              <w:rPr>
                <w:rFonts w:hint="eastAsia" w:ascii="仿宋" w:hAnsi="仿宋" w:eastAsia="仿宋" w:cs="仿宋"/>
                <w:bCs/>
                <w:szCs w:val="21"/>
                <w:highlight w:val="none"/>
                <w:lang w:val="zh-CN"/>
              </w:rPr>
              <w:t>～</w:t>
            </w:r>
            <w:r>
              <w:rPr>
                <w:rFonts w:hint="eastAsia" w:ascii="仿宋" w:hAnsi="仿宋" w:eastAsia="仿宋" w:cs="仿宋"/>
                <w:bCs/>
                <w:szCs w:val="21"/>
                <w:highlight w:val="none"/>
              </w:rPr>
              <w:t>15</w:t>
            </w:r>
            <w:r>
              <w:rPr>
                <w:rFonts w:hint="eastAsia" w:ascii="仿宋" w:hAnsi="仿宋" w:eastAsia="仿宋" w:cs="仿宋"/>
                <w:bCs/>
                <w:szCs w:val="21"/>
                <w:highlight w:val="none"/>
                <w:lang w:val="zh-CN"/>
              </w:rPr>
              <w:t>分，良得</w:t>
            </w:r>
            <w:r>
              <w:rPr>
                <w:rFonts w:hint="eastAsia" w:ascii="仿宋" w:hAnsi="仿宋" w:eastAsia="仿宋" w:cs="仿宋"/>
                <w:bCs/>
                <w:szCs w:val="21"/>
                <w:highlight w:val="none"/>
              </w:rPr>
              <w:t>6</w:t>
            </w:r>
            <w:r>
              <w:rPr>
                <w:rFonts w:hint="eastAsia" w:ascii="仿宋" w:hAnsi="仿宋" w:eastAsia="仿宋" w:cs="仿宋"/>
                <w:bCs/>
                <w:szCs w:val="21"/>
                <w:highlight w:val="none"/>
                <w:lang w:val="zh-CN"/>
              </w:rPr>
              <w:t>～</w:t>
            </w:r>
            <w:r>
              <w:rPr>
                <w:rFonts w:hint="eastAsia" w:ascii="仿宋" w:hAnsi="仿宋" w:eastAsia="仿宋" w:cs="仿宋"/>
                <w:bCs/>
                <w:szCs w:val="21"/>
                <w:highlight w:val="none"/>
              </w:rPr>
              <w:t>10</w:t>
            </w:r>
            <w:r>
              <w:rPr>
                <w:rFonts w:hint="eastAsia" w:ascii="仿宋" w:hAnsi="仿宋" w:eastAsia="仿宋" w:cs="仿宋"/>
                <w:bCs/>
                <w:szCs w:val="21"/>
                <w:highlight w:val="none"/>
                <w:lang w:val="zh-CN"/>
              </w:rPr>
              <w:t>分，一般0～</w:t>
            </w:r>
            <w:r>
              <w:rPr>
                <w:rFonts w:hint="eastAsia" w:ascii="仿宋" w:hAnsi="仿宋" w:eastAsia="仿宋" w:cs="仿宋"/>
                <w:bCs/>
                <w:szCs w:val="21"/>
                <w:highlight w:val="none"/>
              </w:rPr>
              <w:t>5</w:t>
            </w:r>
            <w:r>
              <w:rPr>
                <w:rFonts w:hint="eastAsia" w:ascii="仿宋" w:hAnsi="仿宋" w:eastAsia="仿宋" w:cs="仿宋"/>
                <w:bCs/>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服务管理制度</w:t>
            </w:r>
          </w:p>
          <w:p>
            <w:pPr>
              <w:autoSpaceDE w:val="0"/>
              <w:autoSpaceDN w:val="0"/>
              <w:adjustRightInd w:val="0"/>
              <w:spacing w:line="240" w:lineRule="atLeast"/>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（10分）</w:t>
            </w:r>
          </w:p>
        </w:tc>
        <w:tc>
          <w:tcPr>
            <w:tcW w:w="5478" w:type="dxa"/>
            <w:vAlign w:val="center"/>
          </w:tcPr>
          <w:p>
            <w:pPr>
              <w:autoSpaceDE w:val="0"/>
              <w:autoSpaceDN w:val="0"/>
              <w:adjustRightInd w:val="0"/>
              <w:spacing w:line="240" w:lineRule="atLeast"/>
              <w:rPr>
                <w:rFonts w:ascii="仿宋" w:hAnsi="仿宋" w:eastAsia="仿宋" w:cs="仿宋"/>
                <w:bCs/>
                <w:szCs w:val="21"/>
                <w:highlight w:val="none"/>
                <w:lang w:val="zh-CN"/>
              </w:rPr>
            </w:pPr>
            <w:r>
              <w:rPr>
                <w:rFonts w:hint="eastAsia" w:ascii="仿宋" w:hAnsi="仿宋" w:eastAsia="仿宋" w:cs="仿宋"/>
                <w:bCs/>
                <w:szCs w:val="21"/>
                <w:highlight w:val="none"/>
                <w:lang w:val="zh-CN"/>
              </w:rPr>
              <w:t>管理制度：优得7～10分，良得4～6分，一般0～3分；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岗位责任制度</w:t>
            </w:r>
          </w:p>
          <w:p>
            <w:pPr>
              <w:autoSpaceDE w:val="0"/>
              <w:autoSpaceDN w:val="0"/>
              <w:adjustRightInd w:val="0"/>
              <w:spacing w:line="240" w:lineRule="atLeast"/>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（10分）</w:t>
            </w:r>
          </w:p>
        </w:tc>
        <w:tc>
          <w:tcPr>
            <w:tcW w:w="5478" w:type="dxa"/>
            <w:vAlign w:val="center"/>
          </w:tcPr>
          <w:p>
            <w:pPr>
              <w:autoSpaceDE w:val="0"/>
              <w:autoSpaceDN w:val="0"/>
              <w:adjustRightInd w:val="0"/>
              <w:spacing w:line="240" w:lineRule="atLeast"/>
              <w:rPr>
                <w:rFonts w:ascii="仿宋" w:hAnsi="仿宋" w:eastAsia="仿宋" w:cs="仿宋"/>
                <w:bCs/>
                <w:szCs w:val="21"/>
                <w:highlight w:val="none"/>
                <w:lang w:val="zh-CN"/>
              </w:rPr>
            </w:pPr>
            <w:r>
              <w:rPr>
                <w:rFonts w:hint="eastAsia" w:ascii="仿宋" w:hAnsi="仿宋" w:eastAsia="仿宋" w:cs="仿宋"/>
                <w:bCs/>
                <w:szCs w:val="21"/>
                <w:highlight w:val="none"/>
                <w:lang w:val="zh-CN"/>
              </w:rPr>
              <w:t>责任制度：优得7～10分，良得4～6分，一般0～3分；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配套服务（5分）</w:t>
            </w:r>
          </w:p>
        </w:tc>
        <w:tc>
          <w:tcPr>
            <w:tcW w:w="5478" w:type="dxa"/>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投标人根据实际情况提供派遣人员的档案管理、人事调动、职称评审、户籍管理、党组织关系接收和工会的专业服务。以上配套服务每满足一项，得1分，最多得5分。需提供相关资质证明材料并加盖投标人公章的复合件装订到投标文件，并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开立医保帐户情况（5分）</w:t>
            </w:r>
          </w:p>
        </w:tc>
        <w:tc>
          <w:tcPr>
            <w:tcW w:w="5478" w:type="dxa"/>
          </w:tcPr>
          <w:p>
            <w:pPr>
              <w:rPr>
                <w:rFonts w:ascii="仿宋" w:hAnsi="仿宋" w:eastAsia="仿宋" w:cs="仿宋"/>
                <w:bCs/>
                <w:szCs w:val="21"/>
                <w:highlight w:val="none"/>
                <w:lang w:val="zh-CN"/>
              </w:rPr>
            </w:pPr>
            <w:r>
              <w:rPr>
                <w:rFonts w:hint="eastAsia" w:ascii="仿宋" w:hAnsi="仿宋" w:eastAsia="仿宋" w:cs="仿宋"/>
                <w:bCs/>
                <w:szCs w:val="21"/>
                <w:highlight w:val="none"/>
                <w:lang w:val="zh-CN"/>
              </w:rPr>
              <w:t>投标人吉林省（省医保）、长春市（市医保）两级同时开立医保帐户的，得5分；仅在上述其中一级开立的，得1分。需提供开立帐户的相关证明（参保证明、帐户信息或通知等），并进行承诺。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jc w:val="center"/>
              <w:rPr>
                <w:rFonts w:ascii="仿宋" w:hAnsi="仿宋" w:eastAsia="仿宋" w:cs="仿宋"/>
                <w:bCs/>
                <w:szCs w:val="21"/>
                <w:highlight w:val="none"/>
                <w:lang w:val="zh-CN"/>
              </w:rPr>
            </w:pPr>
            <w:r>
              <w:rPr>
                <w:rFonts w:hint="eastAsia" w:ascii="仿宋" w:hAnsi="仿宋" w:eastAsia="仿宋" w:cs="仿宋"/>
                <w:bCs/>
                <w:szCs w:val="21"/>
                <w:highlight w:val="none"/>
                <w:lang w:val="zh-CN"/>
              </w:rPr>
              <w:t>开立住房公积金账户情况（5分）</w:t>
            </w:r>
          </w:p>
        </w:tc>
        <w:tc>
          <w:tcPr>
            <w:tcW w:w="5478" w:type="dxa"/>
          </w:tcPr>
          <w:p>
            <w:pPr>
              <w:rPr>
                <w:rFonts w:ascii="仿宋" w:hAnsi="仿宋" w:eastAsia="仿宋" w:cs="仿宋"/>
                <w:bCs/>
                <w:szCs w:val="21"/>
                <w:highlight w:val="none"/>
                <w:lang w:val="zh-CN"/>
              </w:rPr>
            </w:pPr>
            <w:r>
              <w:rPr>
                <w:rFonts w:hint="eastAsia" w:ascii="仿宋" w:hAnsi="仿宋" w:eastAsia="仿宋" w:cs="仿宋"/>
                <w:bCs/>
                <w:szCs w:val="21"/>
                <w:highlight w:val="none"/>
                <w:lang w:val="zh-CN"/>
              </w:rPr>
              <w:t>投标人吉林省（省公积金）、长春市（市公积金）两级同时开立公积金帐户的，得5分；仅在上述其中一级开立的，得1分。需提供开立帐户的相关证明（参保证明、帐户信息或缴费通知等），并进行承诺。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restart"/>
            <w:vAlign w:val="center"/>
          </w:tcPr>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商</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务</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部</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分</w:t>
            </w:r>
          </w:p>
          <w:p>
            <w:pPr>
              <w:spacing w:line="240" w:lineRule="atLeast"/>
              <w:jc w:val="center"/>
              <w:rPr>
                <w:rFonts w:ascii="仿宋" w:hAnsi="仿宋" w:eastAsia="仿宋" w:cs="仿宋"/>
                <w:szCs w:val="21"/>
                <w:highlight w:val="none"/>
              </w:rPr>
            </w:pPr>
            <w:r>
              <w:rPr>
                <w:rFonts w:hint="eastAsia" w:ascii="仿宋" w:hAnsi="仿宋" w:eastAsia="仿宋" w:cs="仿宋"/>
                <w:szCs w:val="21"/>
                <w:highlight w:val="none"/>
              </w:rPr>
              <w:t>（40分）</w:t>
            </w:r>
          </w:p>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企业业绩（</w:t>
            </w:r>
            <w:r>
              <w:rPr>
                <w:rFonts w:hint="eastAsia" w:ascii="仿宋" w:hAnsi="仿宋" w:eastAsia="仿宋" w:cs="仿宋"/>
                <w:bCs/>
                <w:szCs w:val="21"/>
                <w:highlight w:val="none"/>
              </w:rPr>
              <w:t>1</w:t>
            </w:r>
            <w:r>
              <w:rPr>
                <w:rFonts w:hint="eastAsia" w:ascii="仿宋" w:hAnsi="仿宋" w:eastAsia="仿宋" w:cs="仿宋"/>
                <w:bCs/>
                <w:szCs w:val="21"/>
                <w:highlight w:val="none"/>
                <w:lang w:val="en-US" w:eastAsia="zh-CN"/>
              </w:rPr>
              <w:t>0</w:t>
            </w:r>
            <w:r>
              <w:rPr>
                <w:rFonts w:hint="eastAsia" w:ascii="仿宋" w:hAnsi="仿宋" w:eastAsia="仿宋" w:cs="仿宋"/>
                <w:bCs/>
                <w:szCs w:val="21"/>
                <w:highlight w:val="none"/>
                <w:lang w:val="zh-CN"/>
              </w:rPr>
              <w:t>分）</w:t>
            </w:r>
          </w:p>
        </w:tc>
        <w:tc>
          <w:tcPr>
            <w:tcW w:w="5478" w:type="dxa"/>
            <w:vAlign w:val="center"/>
          </w:tcPr>
          <w:p>
            <w:pPr>
              <w:autoSpaceDE w:val="0"/>
              <w:autoSpaceDN w:val="0"/>
              <w:adjustRightInd w:val="0"/>
              <w:spacing w:line="240" w:lineRule="atLeast"/>
              <w:rPr>
                <w:rFonts w:ascii="仿宋" w:hAnsi="仿宋" w:eastAsia="仿宋" w:cs="仿宋"/>
                <w:bCs/>
                <w:szCs w:val="21"/>
                <w:highlight w:val="none"/>
                <w:lang w:val="zh-CN"/>
              </w:rPr>
            </w:pPr>
            <w:r>
              <w:rPr>
                <w:rFonts w:hint="eastAsia" w:ascii="仿宋" w:hAnsi="仿宋" w:eastAsia="仿宋" w:cs="仿宋"/>
                <w:bCs/>
                <w:szCs w:val="21"/>
                <w:highlight w:val="none"/>
                <w:lang w:val="zh-CN"/>
              </w:rPr>
              <w:t>根据投标人近三年（2019年至今）的同类项目（限相关事业单位等）劳务派遣服务业绩，每有一项得1分，同一家用工单位不同时间段的合同仅算一项。需提供合同复印件并加盖公章装订到投标文件（合同文本应含有：项目名称，甲、乙方单位名称，协议期限及费用构成、甲乙方单位签约人签字及单位公章等内容，不满足要求的采购人将不考虑）。开标现场须提供原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社会保障资金记录（5分）</w:t>
            </w:r>
          </w:p>
        </w:tc>
        <w:tc>
          <w:tcPr>
            <w:tcW w:w="5478"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投标人应为派遣员工购买社会保险，10000人及以上的计5分；10000人至7000人的计4分；7000人至5000人的计3分；5000人至3000人的计2分；3000人及以下的计1分。提供“缴费记录结束时间”为2021年任意一个月的用人单位社保参保证明（含参保人数）。提供用人单位参保证明原件，标书内附加盖公章的复印件，不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企业荣誉（8分）</w:t>
            </w:r>
          </w:p>
        </w:tc>
        <w:tc>
          <w:tcPr>
            <w:tcW w:w="5478" w:type="dxa"/>
          </w:tcPr>
          <w:p>
            <w:pPr>
              <w:pStyle w:val="37"/>
              <w:autoSpaceDE w:val="0"/>
              <w:autoSpaceDN w:val="0"/>
              <w:adjustRightInd w:val="0"/>
              <w:spacing w:before="0" w:beforeAutospacing="0" w:after="0" w:afterAutospacing="0" w:line="240" w:lineRule="atLeast"/>
              <w:ind w:firstLine="420" w:firstLineChars="200"/>
              <w:rPr>
                <w:rFonts w:ascii="仿宋" w:hAnsi="仿宋" w:eastAsia="仿宋" w:cs="仿宋"/>
                <w:bCs/>
                <w:kern w:val="2"/>
                <w:sz w:val="21"/>
                <w:szCs w:val="21"/>
                <w:highlight w:val="none"/>
                <w:lang w:val="zh-CN"/>
              </w:rPr>
            </w:pPr>
            <w:r>
              <w:rPr>
                <w:rFonts w:hint="eastAsia" w:ascii="仿宋" w:hAnsi="仿宋" w:eastAsia="仿宋" w:cs="仿宋"/>
                <w:bCs/>
                <w:kern w:val="2"/>
                <w:sz w:val="21"/>
                <w:szCs w:val="21"/>
                <w:highlight w:val="none"/>
                <w:lang w:val="zh-CN"/>
              </w:rPr>
              <w:t>获得国家级表彰奖励的，每项加3分，需提供相关资质证明材料并加盖投标人公章的复印件；获得省级表彰奖励的，每项加1分且最高不超过5分，需提供相关资质证明材料并加盖投标人公章的复印件。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资金安全保障（</w:t>
            </w:r>
            <w:r>
              <w:rPr>
                <w:rFonts w:hint="eastAsia" w:ascii="仿宋" w:hAnsi="仿宋" w:eastAsia="仿宋" w:cs="仿宋"/>
                <w:bCs/>
                <w:szCs w:val="21"/>
                <w:highlight w:val="none"/>
                <w:lang w:val="en-US" w:eastAsia="zh-CN"/>
              </w:rPr>
              <w:t>7</w:t>
            </w:r>
            <w:r>
              <w:rPr>
                <w:rFonts w:hint="eastAsia" w:ascii="仿宋" w:hAnsi="仿宋" w:eastAsia="仿宋" w:cs="仿宋"/>
                <w:bCs/>
                <w:szCs w:val="21"/>
                <w:highlight w:val="none"/>
                <w:lang w:val="zh-CN"/>
              </w:rPr>
              <w:t>分）</w:t>
            </w:r>
          </w:p>
        </w:tc>
        <w:tc>
          <w:tcPr>
            <w:tcW w:w="5478" w:type="dxa"/>
          </w:tcPr>
          <w:p>
            <w:pPr>
              <w:autoSpaceDE w:val="0"/>
              <w:autoSpaceDN w:val="0"/>
              <w:adjustRightInd w:val="0"/>
              <w:spacing w:line="240" w:lineRule="atLeast"/>
              <w:ind w:firstLine="411" w:firstLineChars="196"/>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该项目由财政全额</w:t>
            </w:r>
            <w:r>
              <w:rPr>
                <w:rFonts w:ascii="仿宋" w:hAnsi="仿宋" w:eastAsia="仿宋" w:cs="仿宋"/>
                <w:bCs/>
                <w:szCs w:val="21"/>
                <w:highlight w:val="none"/>
                <w:lang w:val="zh-CN"/>
              </w:rPr>
              <w:t>拨款保障</w:t>
            </w:r>
            <w:r>
              <w:rPr>
                <w:rFonts w:hint="eastAsia" w:ascii="仿宋" w:hAnsi="仿宋" w:eastAsia="仿宋" w:cs="仿宋"/>
                <w:bCs/>
                <w:szCs w:val="21"/>
                <w:highlight w:val="none"/>
                <w:lang w:val="zh-CN"/>
              </w:rPr>
              <w:t>，为了确保预付资金安全，要求投标人具有较强的资金风险防范能力和资金安全保障能力。出资情况：投标人由国有资本出资80%以上的，得</w:t>
            </w:r>
            <w:r>
              <w:rPr>
                <w:rFonts w:hint="eastAsia" w:ascii="仿宋" w:hAnsi="仿宋" w:eastAsia="仿宋" w:cs="仿宋"/>
                <w:bCs/>
                <w:szCs w:val="21"/>
                <w:highlight w:val="none"/>
                <w:lang w:val="en-US" w:eastAsia="zh-CN"/>
              </w:rPr>
              <w:t>7</w:t>
            </w:r>
            <w:r>
              <w:rPr>
                <w:rFonts w:hint="eastAsia" w:ascii="仿宋" w:hAnsi="仿宋" w:eastAsia="仿宋" w:cs="仿宋"/>
                <w:bCs/>
                <w:szCs w:val="21"/>
                <w:highlight w:val="none"/>
                <w:lang w:val="zh-CN"/>
              </w:rPr>
              <w:t>分；国有资本出资50%-80%的，得3分，国有资本出资50%以下的，得1分。需提供企业产权登记表。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优惠条件（</w:t>
            </w:r>
            <w:r>
              <w:rPr>
                <w:rFonts w:hint="eastAsia" w:ascii="仿宋" w:hAnsi="仿宋" w:eastAsia="仿宋" w:cs="仿宋"/>
                <w:bCs/>
                <w:szCs w:val="21"/>
                <w:highlight w:val="none"/>
              </w:rPr>
              <w:t>5</w:t>
            </w:r>
            <w:r>
              <w:rPr>
                <w:rFonts w:hint="eastAsia" w:ascii="仿宋" w:hAnsi="仿宋" w:eastAsia="仿宋" w:cs="仿宋"/>
                <w:bCs/>
                <w:szCs w:val="21"/>
                <w:highlight w:val="none"/>
                <w:lang w:val="zh-CN"/>
              </w:rPr>
              <w:t>分）</w:t>
            </w:r>
          </w:p>
        </w:tc>
        <w:tc>
          <w:tcPr>
            <w:tcW w:w="5478" w:type="dxa"/>
            <w:vAlign w:val="center"/>
          </w:tcPr>
          <w:p>
            <w:pPr>
              <w:autoSpaceDE w:val="0"/>
              <w:autoSpaceDN w:val="0"/>
              <w:adjustRightInd w:val="0"/>
              <w:spacing w:line="240" w:lineRule="atLeast"/>
              <w:rPr>
                <w:rFonts w:ascii="仿宋" w:hAnsi="仿宋" w:eastAsia="仿宋" w:cs="仿宋"/>
                <w:bCs/>
                <w:szCs w:val="21"/>
                <w:highlight w:val="none"/>
                <w:lang w:val="zh-CN"/>
              </w:rPr>
            </w:pPr>
            <w:r>
              <w:rPr>
                <w:rFonts w:hint="eastAsia" w:ascii="仿宋" w:hAnsi="仿宋" w:eastAsia="仿宋" w:cs="仿宋"/>
                <w:bCs/>
                <w:szCs w:val="21"/>
                <w:highlight w:val="none"/>
                <w:lang w:val="zh-CN"/>
              </w:rPr>
              <w:t>有优惠条件，且优惠条件优得5分，一般得3分，差得1分,不提供不得分；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92" w:type="dxa"/>
            <w:vMerge w:val="continue"/>
            <w:vAlign w:val="center"/>
          </w:tcPr>
          <w:p>
            <w:pPr>
              <w:spacing w:line="240" w:lineRule="atLeast"/>
              <w:jc w:val="center"/>
              <w:rPr>
                <w:rFonts w:ascii="仿宋" w:hAnsi="仿宋" w:eastAsia="仿宋" w:cs="仿宋"/>
                <w:szCs w:val="21"/>
                <w:highlight w:val="none"/>
              </w:rPr>
            </w:pPr>
          </w:p>
        </w:tc>
        <w:tc>
          <w:tcPr>
            <w:tcW w:w="1869" w:type="dxa"/>
            <w:vAlign w:val="center"/>
          </w:tcPr>
          <w:p>
            <w:pPr>
              <w:autoSpaceDE w:val="0"/>
              <w:autoSpaceDN w:val="0"/>
              <w:adjustRightInd w:val="0"/>
              <w:spacing w:line="240" w:lineRule="atLeast"/>
              <w:jc w:val="left"/>
              <w:rPr>
                <w:rFonts w:ascii="仿宋" w:hAnsi="仿宋" w:eastAsia="仿宋" w:cs="仿宋"/>
                <w:bCs/>
                <w:szCs w:val="21"/>
                <w:highlight w:val="none"/>
                <w:lang w:val="zh-CN"/>
              </w:rPr>
            </w:pPr>
            <w:r>
              <w:rPr>
                <w:rFonts w:hint="eastAsia" w:ascii="仿宋" w:hAnsi="仿宋" w:eastAsia="仿宋" w:cs="仿宋"/>
                <w:bCs/>
                <w:szCs w:val="21"/>
                <w:highlight w:val="none"/>
                <w:lang w:val="zh-CN"/>
              </w:rPr>
              <w:t>服务承诺（</w:t>
            </w:r>
            <w:r>
              <w:rPr>
                <w:rFonts w:hint="eastAsia" w:ascii="仿宋" w:hAnsi="仿宋" w:eastAsia="仿宋" w:cs="仿宋"/>
                <w:bCs/>
                <w:szCs w:val="21"/>
                <w:highlight w:val="none"/>
              </w:rPr>
              <w:t>5</w:t>
            </w:r>
            <w:r>
              <w:rPr>
                <w:rFonts w:hint="eastAsia" w:ascii="仿宋" w:hAnsi="仿宋" w:eastAsia="仿宋" w:cs="仿宋"/>
                <w:bCs/>
                <w:szCs w:val="21"/>
                <w:highlight w:val="none"/>
                <w:lang w:val="zh-CN"/>
              </w:rPr>
              <w:t>分）</w:t>
            </w:r>
          </w:p>
        </w:tc>
        <w:tc>
          <w:tcPr>
            <w:tcW w:w="5478" w:type="dxa"/>
            <w:vAlign w:val="center"/>
          </w:tcPr>
          <w:p>
            <w:pPr>
              <w:autoSpaceDE w:val="0"/>
              <w:autoSpaceDN w:val="0"/>
              <w:adjustRightInd w:val="0"/>
              <w:spacing w:line="240" w:lineRule="atLeast"/>
              <w:rPr>
                <w:rFonts w:ascii="仿宋" w:hAnsi="仿宋" w:eastAsia="仿宋" w:cs="仿宋"/>
                <w:bCs/>
                <w:szCs w:val="21"/>
                <w:highlight w:val="none"/>
                <w:lang w:val="zh-CN"/>
              </w:rPr>
            </w:pPr>
            <w:r>
              <w:rPr>
                <w:rFonts w:hint="eastAsia" w:ascii="仿宋" w:hAnsi="仿宋" w:eastAsia="仿宋" w:cs="仿宋"/>
                <w:bCs/>
                <w:szCs w:val="21"/>
                <w:highlight w:val="none"/>
                <w:lang w:val="zh-CN"/>
              </w:rPr>
              <w:t>服务承诺：优得</w:t>
            </w:r>
            <w:r>
              <w:rPr>
                <w:rFonts w:hint="eastAsia" w:ascii="仿宋" w:hAnsi="仿宋" w:eastAsia="仿宋" w:cs="仿宋"/>
                <w:bCs/>
                <w:szCs w:val="21"/>
                <w:highlight w:val="none"/>
              </w:rPr>
              <w:t>5</w:t>
            </w:r>
            <w:r>
              <w:rPr>
                <w:rFonts w:hint="eastAsia" w:ascii="仿宋" w:hAnsi="仿宋" w:eastAsia="仿宋" w:cs="仿宋"/>
                <w:bCs/>
                <w:szCs w:val="21"/>
                <w:highlight w:val="none"/>
                <w:lang w:val="zh-CN"/>
              </w:rPr>
              <w:t>分，一般得3分，差得1分,不提供不得分；</w:t>
            </w:r>
          </w:p>
        </w:tc>
      </w:tr>
    </w:tbl>
    <w:p>
      <w:pPr>
        <w:pStyle w:val="16"/>
        <w:spacing w:line="240" w:lineRule="atLeast"/>
        <w:jc w:val="left"/>
        <w:rPr>
          <w:rFonts w:ascii="仿宋" w:hAnsi="仿宋" w:eastAsia="仿宋" w:cs="仿宋"/>
          <w:color w:val="000000"/>
          <w:sz w:val="24"/>
          <w:highlight w:val="none"/>
        </w:rPr>
      </w:pPr>
    </w:p>
    <w:sectPr>
      <w:footerReference r:id="rId8" w:type="default"/>
      <w:pgSz w:w="11906" w:h="16838"/>
      <w:pgMar w:top="1440" w:right="1797" w:bottom="1440" w:left="1797"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pict>
        <v:shape id="_x0000_s4114" o:spid="_x0000_s411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pict>
        <v:shape id="_x0000_s4115" o:spid="_x0000_s411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pict>
        <v:shape id="_x0000_s4116" o:spid="_x0000_s411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BB8CA"/>
    <w:multiLevelType w:val="singleLevel"/>
    <w:tmpl w:val="A4ABB8CA"/>
    <w:lvl w:ilvl="0" w:tentative="0">
      <w:start w:val="1"/>
      <w:numFmt w:val="decimal"/>
      <w:lvlText w:val="%1"/>
      <w:lvlJc w:val="left"/>
      <w:pPr>
        <w:tabs>
          <w:tab w:val="left" w:pos="420"/>
        </w:tabs>
        <w:ind w:left="425" w:hanging="425"/>
      </w:pPr>
      <w:rPr>
        <w:rFonts w:hint="default"/>
      </w:rPr>
    </w:lvl>
  </w:abstractNum>
  <w:abstractNum w:abstractNumId="1">
    <w:nsid w:val="00000001"/>
    <w:multiLevelType w:val="multilevel"/>
    <w:tmpl w:val="00000001"/>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A6BA05B"/>
    <w:multiLevelType w:val="singleLevel"/>
    <w:tmpl w:val="0A6BA05B"/>
    <w:lvl w:ilvl="0" w:tentative="0">
      <w:start w:val="1"/>
      <w:numFmt w:val="decimal"/>
      <w:lvlText w:val="%1"/>
      <w:lvlJc w:val="left"/>
      <w:pPr>
        <w:tabs>
          <w:tab w:val="left" w:pos="420"/>
        </w:tabs>
        <w:ind w:left="425" w:hanging="425"/>
      </w:pPr>
      <w:rPr>
        <w:rFonts w:hint="default"/>
      </w:rPr>
    </w:lvl>
  </w:abstractNum>
  <w:abstractNum w:abstractNumId="3">
    <w:nsid w:val="23ECFA1A"/>
    <w:multiLevelType w:val="singleLevel"/>
    <w:tmpl w:val="23ECFA1A"/>
    <w:lvl w:ilvl="0" w:tentative="0">
      <w:start w:val="1"/>
      <w:numFmt w:val="decimal"/>
      <w:lvlText w:val="%1"/>
      <w:lvlJc w:val="left"/>
      <w:pPr>
        <w:tabs>
          <w:tab w:val="left" w:pos="420"/>
        </w:tabs>
        <w:ind w:left="425" w:hanging="425"/>
      </w:pPr>
      <w:rPr>
        <w:rFonts w:hint="default"/>
      </w:rPr>
    </w:lvl>
  </w:abstractNum>
  <w:abstractNum w:abstractNumId="4">
    <w:nsid w:val="5157B9BD"/>
    <w:multiLevelType w:val="singleLevel"/>
    <w:tmpl w:val="5157B9BD"/>
    <w:lvl w:ilvl="0" w:tentative="0">
      <w:start w:val="1"/>
      <w:numFmt w:val="decimal"/>
      <w:lvlText w:val="%1."/>
      <w:lvlJc w:val="left"/>
      <w:pPr>
        <w:ind w:left="425" w:hanging="425"/>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48"/>
    <w:rsid w:val="00001258"/>
    <w:rsid w:val="000019FE"/>
    <w:rsid w:val="0000540F"/>
    <w:rsid w:val="000055A6"/>
    <w:rsid w:val="00006830"/>
    <w:rsid w:val="00011CB3"/>
    <w:rsid w:val="0001248F"/>
    <w:rsid w:val="00012ACE"/>
    <w:rsid w:val="000142EE"/>
    <w:rsid w:val="00015262"/>
    <w:rsid w:val="00017B48"/>
    <w:rsid w:val="000208FC"/>
    <w:rsid w:val="00020BD3"/>
    <w:rsid w:val="00021394"/>
    <w:rsid w:val="00021483"/>
    <w:rsid w:val="00023E53"/>
    <w:rsid w:val="00023F73"/>
    <w:rsid w:val="000274B3"/>
    <w:rsid w:val="0003007C"/>
    <w:rsid w:val="00030142"/>
    <w:rsid w:val="0003099A"/>
    <w:rsid w:val="000314B2"/>
    <w:rsid w:val="00032F70"/>
    <w:rsid w:val="000343EB"/>
    <w:rsid w:val="00035C10"/>
    <w:rsid w:val="00035C5D"/>
    <w:rsid w:val="00042050"/>
    <w:rsid w:val="0004210A"/>
    <w:rsid w:val="0004231B"/>
    <w:rsid w:val="0004419D"/>
    <w:rsid w:val="00046448"/>
    <w:rsid w:val="000465C7"/>
    <w:rsid w:val="00051951"/>
    <w:rsid w:val="00051D47"/>
    <w:rsid w:val="00052579"/>
    <w:rsid w:val="00054512"/>
    <w:rsid w:val="00054AAC"/>
    <w:rsid w:val="000565F4"/>
    <w:rsid w:val="000568EF"/>
    <w:rsid w:val="00056E99"/>
    <w:rsid w:val="000578B4"/>
    <w:rsid w:val="00057B97"/>
    <w:rsid w:val="000601DB"/>
    <w:rsid w:val="000614B9"/>
    <w:rsid w:val="00061AF4"/>
    <w:rsid w:val="00061C38"/>
    <w:rsid w:val="00062A4C"/>
    <w:rsid w:val="0006318E"/>
    <w:rsid w:val="0006439F"/>
    <w:rsid w:val="0006597A"/>
    <w:rsid w:val="00072589"/>
    <w:rsid w:val="00074C6A"/>
    <w:rsid w:val="00075EFB"/>
    <w:rsid w:val="00076EB4"/>
    <w:rsid w:val="00077E56"/>
    <w:rsid w:val="0008236C"/>
    <w:rsid w:val="0008257D"/>
    <w:rsid w:val="00082D51"/>
    <w:rsid w:val="00083CCC"/>
    <w:rsid w:val="0008430A"/>
    <w:rsid w:val="00085967"/>
    <w:rsid w:val="00085C57"/>
    <w:rsid w:val="00087634"/>
    <w:rsid w:val="0008794C"/>
    <w:rsid w:val="000939B1"/>
    <w:rsid w:val="000944C9"/>
    <w:rsid w:val="0009675B"/>
    <w:rsid w:val="00096802"/>
    <w:rsid w:val="0009766C"/>
    <w:rsid w:val="00097C19"/>
    <w:rsid w:val="000A2284"/>
    <w:rsid w:val="000A4408"/>
    <w:rsid w:val="000A4E97"/>
    <w:rsid w:val="000A58A5"/>
    <w:rsid w:val="000A6B49"/>
    <w:rsid w:val="000A780F"/>
    <w:rsid w:val="000B25DB"/>
    <w:rsid w:val="000B267C"/>
    <w:rsid w:val="000B2B00"/>
    <w:rsid w:val="000B2B2B"/>
    <w:rsid w:val="000B3839"/>
    <w:rsid w:val="000B6665"/>
    <w:rsid w:val="000B6A5A"/>
    <w:rsid w:val="000C1518"/>
    <w:rsid w:val="000C4E35"/>
    <w:rsid w:val="000C5FBF"/>
    <w:rsid w:val="000C78CE"/>
    <w:rsid w:val="000D2F14"/>
    <w:rsid w:val="000D34A9"/>
    <w:rsid w:val="000D34C3"/>
    <w:rsid w:val="000D4597"/>
    <w:rsid w:val="000D5BDC"/>
    <w:rsid w:val="000D5C3D"/>
    <w:rsid w:val="000D5D50"/>
    <w:rsid w:val="000D6D4D"/>
    <w:rsid w:val="000D73F1"/>
    <w:rsid w:val="000D7542"/>
    <w:rsid w:val="000D78BE"/>
    <w:rsid w:val="000E0288"/>
    <w:rsid w:val="000E0332"/>
    <w:rsid w:val="000E0BA9"/>
    <w:rsid w:val="000E24B4"/>
    <w:rsid w:val="000E58DE"/>
    <w:rsid w:val="000E5D6C"/>
    <w:rsid w:val="000E6BD8"/>
    <w:rsid w:val="000E7A7D"/>
    <w:rsid w:val="000F086F"/>
    <w:rsid w:val="000F190F"/>
    <w:rsid w:val="000F1AED"/>
    <w:rsid w:val="000F3200"/>
    <w:rsid w:val="000F3967"/>
    <w:rsid w:val="000F4012"/>
    <w:rsid w:val="000F4F19"/>
    <w:rsid w:val="00100215"/>
    <w:rsid w:val="0010549D"/>
    <w:rsid w:val="00105C28"/>
    <w:rsid w:val="001102E8"/>
    <w:rsid w:val="00110955"/>
    <w:rsid w:val="00111686"/>
    <w:rsid w:val="00114ED2"/>
    <w:rsid w:val="00117033"/>
    <w:rsid w:val="00122493"/>
    <w:rsid w:val="00123131"/>
    <w:rsid w:val="00123969"/>
    <w:rsid w:val="00124261"/>
    <w:rsid w:val="00126D15"/>
    <w:rsid w:val="00127C14"/>
    <w:rsid w:val="00127F5C"/>
    <w:rsid w:val="00130983"/>
    <w:rsid w:val="00133112"/>
    <w:rsid w:val="001341A3"/>
    <w:rsid w:val="0013475D"/>
    <w:rsid w:val="001347DD"/>
    <w:rsid w:val="001425C8"/>
    <w:rsid w:val="0014278F"/>
    <w:rsid w:val="00145115"/>
    <w:rsid w:val="001461EC"/>
    <w:rsid w:val="00146262"/>
    <w:rsid w:val="00146352"/>
    <w:rsid w:val="00146BD2"/>
    <w:rsid w:val="00147F72"/>
    <w:rsid w:val="00150739"/>
    <w:rsid w:val="00150844"/>
    <w:rsid w:val="00151BF0"/>
    <w:rsid w:val="0015241D"/>
    <w:rsid w:val="001524CD"/>
    <w:rsid w:val="001526D2"/>
    <w:rsid w:val="00152822"/>
    <w:rsid w:val="00152B38"/>
    <w:rsid w:val="00153306"/>
    <w:rsid w:val="0015500C"/>
    <w:rsid w:val="00155943"/>
    <w:rsid w:val="001571C7"/>
    <w:rsid w:val="00157570"/>
    <w:rsid w:val="00160929"/>
    <w:rsid w:val="0016299E"/>
    <w:rsid w:val="00164512"/>
    <w:rsid w:val="00164D9B"/>
    <w:rsid w:val="00172A27"/>
    <w:rsid w:val="00173E3F"/>
    <w:rsid w:val="0017580A"/>
    <w:rsid w:val="00177A45"/>
    <w:rsid w:val="0018184D"/>
    <w:rsid w:val="00181B8C"/>
    <w:rsid w:val="00181F75"/>
    <w:rsid w:val="0018607E"/>
    <w:rsid w:val="001876E6"/>
    <w:rsid w:val="0019069C"/>
    <w:rsid w:val="001909EE"/>
    <w:rsid w:val="00191024"/>
    <w:rsid w:val="00191DCC"/>
    <w:rsid w:val="001946B2"/>
    <w:rsid w:val="001948D4"/>
    <w:rsid w:val="0019669A"/>
    <w:rsid w:val="00196B82"/>
    <w:rsid w:val="00197E45"/>
    <w:rsid w:val="001A0974"/>
    <w:rsid w:val="001A39A6"/>
    <w:rsid w:val="001A7166"/>
    <w:rsid w:val="001A7269"/>
    <w:rsid w:val="001B0749"/>
    <w:rsid w:val="001B0E0F"/>
    <w:rsid w:val="001B1C72"/>
    <w:rsid w:val="001B2DF7"/>
    <w:rsid w:val="001B62F7"/>
    <w:rsid w:val="001B7150"/>
    <w:rsid w:val="001B74AB"/>
    <w:rsid w:val="001C0302"/>
    <w:rsid w:val="001C0C1E"/>
    <w:rsid w:val="001C0F65"/>
    <w:rsid w:val="001C1B1A"/>
    <w:rsid w:val="001C222B"/>
    <w:rsid w:val="001C3A1D"/>
    <w:rsid w:val="001C4669"/>
    <w:rsid w:val="001C718C"/>
    <w:rsid w:val="001C7459"/>
    <w:rsid w:val="001D46AC"/>
    <w:rsid w:val="001E0F85"/>
    <w:rsid w:val="001E1047"/>
    <w:rsid w:val="001E1624"/>
    <w:rsid w:val="001E1A52"/>
    <w:rsid w:val="001E3A50"/>
    <w:rsid w:val="001E3CB6"/>
    <w:rsid w:val="001E4BCD"/>
    <w:rsid w:val="001E56AC"/>
    <w:rsid w:val="001E677E"/>
    <w:rsid w:val="001F1445"/>
    <w:rsid w:val="001F1B64"/>
    <w:rsid w:val="001F1D39"/>
    <w:rsid w:val="001F6669"/>
    <w:rsid w:val="001F6B78"/>
    <w:rsid w:val="00202EC1"/>
    <w:rsid w:val="002033D7"/>
    <w:rsid w:val="002034AB"/>
    <w:rsid w:val="00206061"/>
    <w:rsid w:val="00206920"/>
    <w:rsid w:val="002072F3"/>
    <w:rsid w:val="00210516"/>
    <w:rsid w:val="002115BF"/>
    <w:rsid w:val="002120AD"/>
    <w:rsid w:val="00212D99"/>
    <w:rsid w:val="00213829"/>
    <w:rsid w:val="0021496C"/>
    <w:rsid w:val="00215BEC"/>
    <w:rsid w:val="00216D7F"/>
    <w:rsid w:val="0021778E"/>
    <w:rsid w:val="00221398"/>
    <w:rsid w:val="00223718"/>
    <w:rsid w:val="00223772"/>
    <w:rsid w:val="002247EF"/>
    <w:rsid w:val="0022492B"/>
    <w:rsid w:val="00224C84"/>
    <w:rsid w:val="0022638F"/>
    <w:rsid w:val="00227F5E"/>
    <w:rsid w:val="00230B73"/>
    <w:rsid w:val="0023136D"/>
    <w:rsid w:val="00232E23"/>
    <w:rsid w:val="00234143"/>
    <w:rsid w:val="00234BBC"/>
    <w:rsid w:val="002350B3"/>
    <w:rsid w:val="00237009"/>
    <w:rsid w:val="00240D98"/>
    <w:rsid w:val="00242664"/>
    <w:rsid w:val="00242E8E"/>
    <w:rsid w:val="00244070"/>
    <w:rsid w:val="002452D1"/>
    <w:rsid w:val="0025214C"/>
    <w:rsid w:val="00253FA4"/>
    <w:rsid w:val="0025449F"/>
    <w:rsid w:val="00255077"/>
    <w:rsid w:val="0025601E"/>
    <w:rsid w:val="002569CE"/>
    <w:rsid w:val="00256EEB"/>
    <w:rsid w:val="00257F76"/>
    <w:rsid w:val="0026148F"/>
    <w:rsid w:val="00262779"/>
    <w:rsid w:val="002627DA"/>
    <w:rsid w:val="00262C0A"/>
    <w:rsid w:val="002655FA"/>
    <w:rsid w:val="002662FD"/>
    <w:rsid w:val="002672BE"/>
    <w:rsid w:val="00270FC9"/>
    <w:rsid w:val="002723C3"/>
    <w:rsid w:val="00275F62"/>
    <w:rsid w:val="00276C12"/>
    <w:rsid w:val="00276DD3"/>
    <w:rsid w:val="00276E9B"/>
    <w:rsid w:val="00277543"/>
    <w:rsid w:val="002776EA"/>
    <w:rsid w:val="00277F9E"/>
    <w:rsid w:val="00280C1F"/>
    <w:rsid w:val="00280F2F"/>
    <w:rsid w:val="00281230"/>
    <w:rsid w:val="002814DB"/>
    <w:rsid w:val="002839B8"/>
    <w:rsid w:val="002872AC"/>
    <w:rsid w:val="002906F2"/>
    <w:rsid w:val="002921A1"/>
    <w:rsid w:val="002930A0"/>
    <w:rsid w:val="002930F6"/>
    <w:rsid w:val="002969C2"/>
    <w:rsid w:val="002A3579"/>
    <w:rsid w:val="002A37CF"/>
    <w:rsid w:val="002A389F"/>
    <w:rsid w:val="002A4746"/>
    <w:rsid w:val="002A7400"/>
    <w:rsid w:val="002B0B61"/>
    <w:rsid w:val="002B23CA"/>
    <w:rsid w:val="002B4515"/>
    <w:rsid w:val="002B4EA0"/>
    <w:rsid w:val="002B53A6"/>
    <w:rsid w:val="002B5412"/>
    <w:rsid w:val="002B6183"/>
    <w:rsid w:val="002B6528"/>
    <w:rsid w:val="002B697F"/>
    <w:rsid w:val="002C0E43"/>
    <w:rsid w:val="002C58DE"/>
    <w:rsid w:val="002C6354"/>
    <w:rsid w:val="002C7459"/>
    <w:rsid w:val="002D0528"/>
    <w:rsid w:val="002D0679"/>
    <w:rsid w:val="002D2808"/>
    <w:rsid w:val="002D47E0"/>
    <w:rsid w:val="002D4F3B"/>
    <w:rsid w:val="002D6217"/>
    <w:rsid w:val="002D639A"/>
    <w:rsid w:val="002D77B6"/>
    <w:rsid w:val="002D7EE2"/>
    <w:rsid w:val="002E1955"/>
    <w:rsid w:val="002E2216"/>
    <w:rsid w:val="002E3E29"/>
    <w:rsid w:val="002E6072"/>
    <w:rsid w:val="002E64ED"/>
    <w:rsid w:val="002E68A7"/>
    <w:rsid w:val="002F0B62"/>
    <w:rsid w:val="002F1830"/>
    <w:rsid w:val="002F1B85"/>
    <w:rsid w:val="002F1DBD"/>
    <w:rsid w:val="002F3A7F"/>
    <w:rsid w:val="002F4D85"/>
    <w:rsid w:val="002F4FA6"/>
    <w:rsid w:val="002F5F6C"/>
    <w:rsid w:val="00301672"/>
    <w:rsid w:val="003017F3"/>
    <w:rsid w:val="00303F23"/>
    <w:rsid w:val="003061B4"/>
    <w:rsid w:val="0030748B"/>
    <w:rsid w:val="00310F45"/>
    <w:rsid w:val="003110FE"/>
    <w:rsid w:val="00311681"/>
    <w:rsid w:val="0031192F"/>
    <w:rsid w:val="00312D3C"/>
    <w:rsid w:val="00312F23"/>
    <w:rsid w:val="0031648E"/>
    <w:rsid w:val="003201EE"/>
    <w:rsid w:val="003205C6"/>
    <w:rsid w:val="0032201C"/>
    <w:rsid w:val="00322519"/>
    <w:rsid w:val="003230C1"/>
    <w:rsid w:val="0032416C"/>
    <w:rsid w:val="00324A8F"/>
    <w:rsid w:val="00325105"/>
    <w:rsid w:val="00332077"/>
    <w:rsid w:val="00336D40"/>
    <w:rsid w:val="003406B5"/>
    <w:rsid w:val="0034219D"/>
    <w:rsid w:val="0034321B"/>
    <w:rsid w:val="00351A4D"/>
    <w:rsid w:val="00353BDF"/>
    <w:rsid w:val="00354143"/>
    <w:rsid w:val="00355AFE"/>
    <w:rsid w:val="00355FAA"/>
    <w:rsid w:val="003600B5"/>
    <w:rsid w:val="00360684"/>
    <w:rsid w:val="00360903"/>
    <w:rsid w:val="0036144A"/>
    <w:rsid w:val="00364A98"/>
    <w:rsid w:val="0036702E"/>
    <w:rsid w:val="00367DD9"/>
    <w:rsid w:val="00370744"/>
    <w:rsid w:val="003726C6"/>
    <w:rsid w:val="003734A4"/>
    <w:rsid w:val="00374854"/>
    <w:rsid w:val="00374C4D"/>
    <w:rsid w:val="003750A1"/>
    <w:rsid w:val="003750BB"/>
    <w:rsid w:val="003751AB"/>
    <w:rsid w:val="00376F49"/>
    <w:rsid w:val="00377E8F"/>
    <w:rsid w:val="00381F81"/>
    <w:rsid w:val="00382E43"/>
    <w:rsid w:val="0038475D"/>
    <w:rsid w:val="00384908"/>
    <w:rsid w:val="00396523"/>
    <w:rsid w:val="00396868"/>
    <w:rsid w:val="00396FAB"/>
    <w:rsid w:val="00397916"/>
    <w:rsid w:val="00397F21"/>
    <w:rsid w:val="003A097A"/>
    <w:rsid w:val="003A1BB4"/>
    <w:rsid w:val="003A1C47"/>
    <w:rsid w:val="003A1D23"/>
    <w:rsid w:val="003A2C58"/>
    <w:rsid w:val="003A4642"/>
    <w:rsid w:val="003B0345"/>
    <w:rsid w:val="003B5872"/>
    <w:rsid w:val="003B7869"/>
    <w:rsid w:val="003C0D0F"/>
    <w:rsid w:val="003C1142"/>
    <w:rsid w:val="003C25B6"/>
    <w:rsid w:val="003C3FF2"/>
    <w:rsid w:val="003C4191"/>
    <w:rsid w:val="003C5693"/>
    <w:rsid w:val="003C5768"/>
    <w:rsid w:val="003C57D6"/>
    <w:rsid w:val="003C6374"/>
    <w:rsid w:val="003D0DB7"/>
    <w:rsid w:val="003D4355"/>
    <w:rsid w:val="003D586C"/>
    <w:rsid w:val="003D5A65"/>
    <w:rsid w:val="003D7949"/>
    <w:rsid w:val="003E34B9"/>
    <w:rsid w:val="003E5215"/>
    <w:rsid w:val="003F1319"/>
    <w:rsid w:val="003F4887"/>
    <w:rsid w:val="003F6241"/>
    <w:rsid w:val="003F7554"/>
    <w:rsid w:val="004007EA"/>
    <w:rsid w:val="0040194C"/>
    <w:rsid w:val="00401A7B"/>
    <w:rsid w:val="004065E0"/>
    <w:rsid w:val="00410CA2"/>
    <w:rsid w:val="00411833"/>
    <w:rsid w:val="0041227C"/>
    <w:rsid w:val="00415E5A"/>
    <w:rsid w:val="004175B5"/>
    <w:rsid w:val="00420A4C"/>
    <w:rsid w:val="00420D91"/>
    <w:rsid w:val="00421F03"/>
    <w:rsid w:val="004220EC"/>
    <w:rsid w:val="00422B6C"/>
    <w:rsid w:val="00422CD8"/>
    <w:rsid w:val="00422EC4"/>
    <w:rsid w:val="00422FB2"/>
    <w:rsid w:val="00423D01"/>
    <w:rsid w:val="00425CA7"/>
    <w:rsid w:val="0042647C"/>
    <w:rsid w:val="00426F99"/>
    <w:rsid w:val="00427308"/>
    <w:rsid w:val="00427390"/>
    <w:rsid w:val="004322EA"/>
    <w:rsid w:val="004333D1"/>
    <w:rsid w:val="0043390A"/>
    <w:rsid w:val="004361B0"/>
    <w:rsid w:val="004364FF"/>
    <w:rsid w:val="00437BAF"/>
    <w:rsid w:val="004404F8"/>
    <w:rsid w:val="004427D3"/>
    <w:rsid w:val="00442E25"/>
    <w:rsid w:val="0044555E"/>
    <w:rsid w:val="00450421"/>
    <w:rsid w:val="00450600"/>
    <w:rsid w:val="004509C0"/>
    <w:rsid w:val="00451FBD"/>
    <w:rsid w:val="00452E76"/>
    <w:rsid w:val="00452E7D"/>
    <w:rsid w:val="00453441"/>
    <w:rsid w:val="004543DB"/>
    <w:rsid w:val="00454794"/>
    <w:rsid w:val="004547A5"/>
    <w:rsid w:val="00455DD7"/>
    <w:rsid w:val="00461F7F"/>
    <w:rsid w:val="0046205F"/>
    <w:rsid w:val="004639E8"/>
    <w:rsid w:val="00465190"/>
    <w:rsid w:val="004738B8"/>
    <w:rsid w:val="00474083"/>
    <w:rsid w:val="00474ADB"/>
    <w:rsid w:val="00474C83"/>
    <w:rsid w:val="00475165"/>
    <w:rsid w:val="004826CF"/>
    <w:rsid w:val="004829B1"/>
    <w:rsid w:val="00482ECF"/>
    <w:rsid w:val="004877EB"/>
    <w:rsid w:val="00490C75"/>
    <w:rsid w:val="00491623"/>
    <w:rsid w:val="004918D8"/>
    <w:rsid w:val="00495210"/>
    <w:rsid w:val="00495E0A"/>
    <w:rsid w:val="004964B5"/>
    <w:rsid w:val="00496832"/>
    <w:rsid w:val="00497C11"/>
    <w:rsid w:val="004A025B"/>
    <w:rsid w:val="004A2050"/>
    <w:rsid w:val="004A31F6"/>
    <w:rsid w:val="004A47B0"/>
    <w:rsid w:val="004A5E8E"/>
    <w:rsid w:val="004B01B2"/>
    <w:rsid w:val="004B0D6C"/>
    <w:rsid w:val="004B3A50"/>
    <w:rsid w:val="004B4485"/>
    <w:rsid w:val="004B4EA0"/>
    <w:rsid w:val="004B78C7"/>
    <w:rsid w:val="004C0DB6"/>
    <w:rsid w:val="004C3F6F"/>
    <w:rsid w:val="004C6AE4"/>
    <w:rsid w:val="004C7ABF"/>
    <w:rsid w:val="004C7AFD"/>
    <w:rsid w:val="004D0879"/>
    <w:rsid w:val="004D1232"/>
    <w:rsid w:val="004D414D"/>
    <w:rsid w:val="004D555B"/>
    <w:rsid w:val="004D5A0E"/>
    <w:rsid w:val="004D64EC"/>
    <w:rsid w:val="004D7071"/>
    <w:rsid w:val="004E1C48"/>
    <w:rsid w:val="004E2AC2"/>
    <w:rsid w:val="004E2E42"/>
    <w:rsid w:val="004E3DC7"/>
    <w:rsid w:val="004E6469"/>
    <w:rsid w:val="004F0CB5"/>
    <w:rsid w:val="004F65E6"/>
    <w:rsid w:val="004F7035"/>
    <w:rsid w:val="00502DAA"/>
    <w:rsid w:val="00505C14"/>
    <w:rsid w:val="00506A32"/>
    <w:rsid w:val="00506EF1"/>
    <w:rsid w:val="005111A3"/>
    <w:rsid w:val="0051228F"/>
    <w:rsid w:val="005136FA"/>
    <w:rsid w:val="00516F0E"/>
    <w:rsid w:val="005206F3"/>
    <w:rsid w:val="005215E3"/>
    <w:rsid w:val="00522141"/>
    <w:rsid w:val="00522682"/>
    <w:rsid w:val="00524B3A"/>
    <w:rsid w:val="005257C7"/>
    <w:rsid w:val="00527E24"/>
    <w:rsid w:val="0053193D"/>
    <w:rsid w:val="00531BD4"/>
    <w:rsid w:val="0053388E"/>
    <w:rsid w:val="005344E8"/>
    <w:rsid w:val="00534CE1"/>
    <w:rsid w:val="005376A6"/>
    <w:rsid w:val="0054170A"/>
    <w:rsid w:val="00541B90"/>
    <w:rsid w:val="00541FBC"/>
    <w:rsid w:val="00543556"/>
    <w:rsid w:val="0054367C"/>
    <w:rsid w:val="00543874"/>
    <w:rsid w:val="00543F9E"/>
    <w:rsid w:val="00544989"/>
    <w:rsid w:val="0054534E"/>
    <w:rsid w:val="00545404"/>
    <w:rsid w:val="00545944"/>
    <w:rsid w:val="00545F2F"/>
    <w:rsid w:val="00550F54"/>
    <w:rsid w:val="00552750"/>
    <w:rsid w:val="005544B0"/>
    <w:rsid w:val="005553AB"/>
    <w:rsid w:val="00561B54"/>
    <w:rsid w:val="005626B9"/>
    <w:rsid w:val="00564295"/>
    <w:rsid w:val="00565E99"/>
    <w:rsid w:val="00570513"/>
    <w:rsid w:val="005716CF"/>
    <w:rsid w:val="0057170B"/>
    <w:rsid w:val="00571D05"/>
    <w:rsid w:val="005722CF"/>
    <w:rsid w:val="00572380"/>
    <w:rsid w:val="0057264C"/>
    <w:rsid w:val="00572D8F"/>
    <w:rsid w:val="00581494"/>
    <w:rsid w:val="00582270"/>
    <w:rsid w:val="00582BD9"/>
    <w:rsid w:val="00583C02"/>
    <w:rsid w:val="00584457"/>
    <w:rsid w:val="00584604"/>
    <w:rsid w:val="00587032"/>
    <w:rsid w:val="005877B9"/>
    <w:rsid w:val="00587D81"/>
    <w:rsid w:val="00590F56"/>
    <w:rsid w:val="00592166"/>
    <w:rsid w:val="005922B4"/>
    <w:rsid w:val="005923BE"/>
    <w:rsid w:val="0059246E"/>
    <w:rsid w:val="005938CA"/>
    <w:rsid w:val="00594DF6"/>
    <w:rsid w:val="005A05B6"/>
    <w:rsid w:val="005A0ED0"/>
    <w:rsid w:val="005A577B"/>
    <w:rsid w:val="005A7CA3"/>
    <w:rsid w:val="005B0A77"/>
    <w:rsid w:val="005B18E8"/>
    <w:rsid w:val="005B3940"/>
    <w:rsid w:val="005B45C1"/>
    <w:rsid w:val="005B5859"/>
    <w:rsid w:val="005B6047"/>
    <w:rsid w:val="005B63BF"/>
    <w:rsid w:val="005B7992"/>
    <w:rsid w:val="005C2B4F"/>
    <w:rsid w:val="005C6B57"/>
    <w:rsid w:val="005C6D41"/>
    <w:rsid w:val="005D2DEC"/>
    <w:rsid w:val="005D3EE7"/>
    <w:rsid w:val="005D4A31"/>
    <w:rsid w:val="005D7847"/>
    <w:rsid w:val="005D79B8"/>
    <w:rsid w:val="005E048A"/>
    <w:rsid w:val="005E1B9D"/>
    <w:rsid w:val="005E1F48"/>
    <w:rsid w:val="005E2B20"/>
    <w:rsid w:val="005E40F8"/>
    <w:rsid w:val="005E452B"/>
    <w:rsid w:val="005F2B25"/>
    <w:rsid w:val="005F34C8"/>
    <w:rsid w:val="005F55F3"/>
    <w:rsid w:val="005F578F"/>
    <w:rsid w:val="005F6532"/>
    <w:rsid w:val="005F7CAA"/>
    <w:rsid w:val="0060006B"/>
    <w:rsid w:val="006007DA"/>
    <w:rsid w:val="00601945"/>
    <w:rsid w:val="00602142"/>
    <w:rsid w:val="00602EAD"/>
    <w:rsid w:val="00604509"/>
    <w:rsid w:val="006046CC"/>
    <w:rsid w:val="006052BF"/>
    <w:rsid w:val="00606A96"/>
    <w:rsid w:val="0061110F"/>
    <w:rsid w:val="00613928"/>
    <w:rsid w:val="00613F06"/>
    <w:rsid w:val="00613F5D"/>
    <w:rsid w:val="006144B5"/>
    <w:rsid w:val="00616743"/>
    <w:rsid w:val="00620512"/>
    <w:rsid w:val="00620B44"/>
    <w:rsid w:val="00621479"/>
    <w:rsid w:val="00623579"/>
    <w:rsid w:val="0062756C"/>
    <w:rsid w:val="00630720"/>
    <w:rsid w:val="006334CD"/>
    <w:rsid w:val="00633629"/>
    <w:rsid w:val="00633A50"/>
    <w:rsid w:val="00635775"/>
    <w:rsid w:val="006360A4"/>
    <w:rsid w:val="006374A3"/>
    <w:rsid w:val="00637817"/>
    <w:rsid w:val="00637AE2"/>
    <w:rsid w:val="00640D06"/>
    <w:rsid w:val="00640E0E"/>
    <w:rsid w:val="00641A86"/>
    <w:rsid w:val="006431C6"/>
    <w:rsid w:val="006432C0"/>
    <w:rsid w:val="00645AAC"/>
    <w:rsid w:val="00646BC2"/>
    <w:rsid w:val="00647726"/>
    <w:rsid w:val="00650E56"/>
    <w:rsid w:val="00651C00"/>
    <w:rsid w:val="00653856"/>
    <w:rsid w:val="006558C4"/>
    <w:rsid w:val="00657268"/>
    <w:rsid w:val="00660B2F"/>
    <w:rsid w:val="00662DC0"/>
    <w:rsid w:val="0066420B"/>
    <w:rsid w:val="006643B4"/>
    <w:rsid w:val="00664481"/>
    <w:rsid w:val="006644F0"/>
    <w:rsid w:val="006648C4"/>
    <w:rsid w:val="006655D3"/>
    <w:rsid w:val="00665E3E"/>
    <w:rsid w:val="006668BE"/>
    <w:rsid w:val="00673426"/>
    <w:rsid w:val="00674D7E"/>
    <w:rsid w:val="00675AB8"/>
    <w:rsid w:val="00676687"/>
    <w:rsid w:val="00680DB1"/>
    <w:rsid w:val="0068133F"/>
    <w:rsid w:val="00681878"/>
    <w:rsid w:val="00684DD1"/>
    <w:rsid w:val="00687A42"/>
    <w:rsid w:val="00687D1C"/>
    <w:rsid w:val="00687EDC"/>
    <w:rsid w:val="006902F2"/>
    <w:rsid w:val="00695FF7"/>
    <w:rsid w:val="006973D9"/>
    <w:rsid w:val="006A1371"/>
    <w:rsid w:val="006A42A1"/>
    <w:rsid w:val="006A4BB7"/>
    <w:rsid w:val="006A5944"/>
    <w:rsid w:val="006A7939"/>
    <w:rsid w:val="006A7C86"/>
    <w:rsid w:val="006A7F7F"/>
    <w:rsid w:val="006B093C"/>
    <w:rsid w:val="006B0DE4"/>
    <w:rsid w:val="006B1903"/>
    <w:rsid w:val="006B3863"/>
    <w:rsid w:val="006B5560"/>
    <w:rsid w:val="006B65E9"/>
    <w:rsid w:val="006C12CB"/>
    <w:rsid w:val="006C3205"/>
    <w:rsid w:val="006C3EA4"/>
    <w:rsid w:val="006C55B0"/>
    <w:rsid w:val="006C6675"/>
    <w:rsid w:val="006C66F7"/>
    <w:rsid w:val="006D1081"/>
    <w:rsid w:val="006D15D1"/>
    <w:rsid w:val="006D39BB"/>
    <w:rsid w:val="006D528B"/>
    <w:rsid w:val="006D5E97"/>
    <w:rsid w:val="006D67DA"/>
    <w:rsid w:val="006D7DC8"/>
    <w:rsid w:val="006E12E1"/>
    <w:rsid w:val="006E228E"/>
    <w:rsid w:val="006E2859"/>
    <w:rsid w:val="006E4468"/>
    <w:rsid w:val="006E4CD2"/>
    <w:rsid w:val="006E5CE7"/>
    <w:rsid w:val="006F0EFA"/>
    <w:rsid w:val="006F100F"/>
    <w:rsid w:val="006F4A2E"/>
    <w:rsid w:val="006F6248"/>
    <w:rsid w:val="006F7AAA"/>
    <w:rsid w:val="00702183"/>
    <w:rsid w:val="0070514E"/>
    <w:rsid w:val="00705D24"/>
    <w:rsid w:val="007135D4"/>
    <w:rsid w:val="0072135E"/>
    <w:rsid w:val="00721B04"/>
    <w:rsid w:val="007234E4"/>
    <w:rsid w:val="007244AB"/>
    <w:rsid w:val="007253C2"/>
    <w:rsid w:val="00726E67"/>
    <w:rsid w:val="00726F79"/>
    <w:rsid w:val="0072717D"/>
    <w:rsid w:val="007346F2"/>
    <w:rsid w:val="00742984"/>
    <w:rsid w:val="007439C5"/>
    <w:rsid w:val="00744116"/>
    <w:rsid w:val="007441F1"/>
    <w:rsid w:val="00744603"/>
    <w:rsid w:val="00744852"/>
    <w:rsid w:val="00746592"/>
    <w:rsid w:val="00747AAA"/>
    <w:rsid w:val="007503FD"/>
    <w:rsid w:val="007504E0"/>
    <w:rsid w:val="00752424"/>
    <w:rsid w:val="00753145"/>
    <w:rsid w:val="00754F61"/>
    <w:rsid w:val="0075512F"/>
    <w:rsid w:val="00755169"/>
    <w:rsid w:val="0075602A"/>
    <w:rsid w:val="00760973"/>
    <w:rsid w:val="00761D44"/>
    <w:rsid w:val="0076247B"/>
    <w:rsid w:val="00762620"/>
    <w:rsid w:val="007632C8"/>
    <w:rsid w:val="00763349"/>
    <w:rsid w:val="00763AFB"/>
    <w:rsid w:val="00763F4B"/>
    <w:rsid w:val="007646FB"/>
    <w:rsid w:val="00765512"/>
    <w:rsid w:val="00766604"/>
    <w:rsid w:val="00766DD3"/>
    <w:rsid w:val="00772789"/>
    <w:rsid w:val="00772B2D"/>
    <w:rsid w:val="00773D86"/>
    <w:rsid w:val="007766B5"/>
    <w:rsid w:val="0078277C"/>
    <w:rsid w:val="007830B3"/>
    <w:rsid w:val="007838FE"/>
    <w:rsid w:val="00784E89"/>
    <w:rsid w:val="00790870"/>
    <w:rsid w:val="00792207"/>
    <w:rsid w:val="00794AB9"/>
    <w:rsid w:val="007959DD"/>
    <w:rsid w:val="007A078F"/>
    <w:rsid w:val="007A0D08"/>
    <w:rsid w:val="007A463C"/>
    <w:rsid w:val="007A49FB"/>
    <w:rsid w:val="007A7C1A"/>
    <w:rsid w:val="007B0413"/>
    <w:rsid w:val="007B08DF"/>
    <w:rsid w:val="007B0A2A"/>
    <w:rsid w:val="007B1A3C"/>
    <w:rsid w:val="007B34D7"/>
    <w:rsid w:val="007B4069"/>
    <w:rsid w:val="007B51D2"/>
    <w:rsid w:val="007B60F3"/>
    <w:rsid w:val="007B75A5"/>
    <w:rsid w:val="007B7A86"/>
    <w:rsid w:val="007C0132"/>
    <w:rsid w:val="007C03A3"/>
    <w:rsid w:val="007C08DA"/>
    <w:rsid w:val="007C2EBA"/>
    <w:rsid w:val="007C3F01"/>
    <w:rsid w:val="007C500A"/>
    <w:rsid w:val="007C5472"/>
    <w:rsid w:val="007C6A57"/>
    <w:rsid w:val="007D0BD5"/>
    <w:rsid w:val="007D103F"/>
    <w:rsid w:val="007D286F"/>
    <w:rsid w:val="007D2D6F"/>
    <w:rsid w:val="007D44EA"/>
    <w:rsid w:val="007D58BF"/>
    <w:rsid w:val="007D6D94"/>
    <w:rsid w:val="007D6E1D"/>
    <w:rsid w:val="007D7898"/>
    <w:rsid w:val="007E0D26"/>
    <w:rsid w:val="007E1668"/>
    <w:rsid w:val="007E229D"/>
    <w:rsid w:val="007E24E1"/>
    <w:rsid w:val="007E33BE"/>
    <w:rsid w:val="007E4D98"/>
    <w:rsid w:val="007E522D"/>
    <w:rsid w:val="007F038C"/>
    <w:rsid w:val="007F16C5"/>
    <w:rsid w:val="007F2CDD"/>
    <w:rsid w:val="007F6739"/>
    <w:rsid w:val="008027E5"/>
    <w:rsid w:val="00805709"/>
    <w:rsid w:val="00806059"/>
    <w:rsid w:val="00806991"/>
    <w:rsid w:val="00807205"/>
    <w:rsid w:val="00810529"/>
    <w:rsid w:val="0081113D"/>
    <w:rsid w:val="00811417"/>
    <w:rsid w:val="00811B9E"/>
    <w:rsid w:val="008131B2"/>
    <w:rsid w:val="00816160"/>
    <w:rsid w:val="00816311"/>
    <w:rsid w:val="00820865"/>
    <w:rsid w:val="00821835"/>
    <w:rsid w:val="00822007"/>
    <w:rsid w:val="008238DA"/>
    <w:rsid w:val="00824B0F"/>
    <w:rsid w:val="00825E54"/>
    <w:rsid w:val="00826472"/>
    <w:rsid w:val="0083014E"/>
    <w:rsid w:val="00830394"/>
    <w:rsid w:val="008304EE"/>
    <w:rsid w:val="00830538"/>
    <w:rsid w:val="00830AAC"/>
    <w:rsid w:val="00830ABD"/>
    <w:rsid w:val="0083290B"/>
    <w:rsid w:val="0083474F"/>
    <w:rsid w:val="00835BDB"/>
    <w:rsid w:val="00836338"/>
    <w:rsid w:val="00840FD9"/>
    <w:rsid w:val="00841E3D"/>
    <w:rsid w:val="00843E92"/>
    <w:rsid w:val="00843FB2"/>
    <w:rsid w:val="0084587F"/>
    <w:rsid w:val="008459DA"/>
    <w:rsid w:val="0084610B"/>
    <w:rsid w:val="0084629C"/>
    <w:rsid w:val="008462D8"/>
    <w:rsid w:val="008545B5"/>
    <w:rsid w:val="0085623E"/>
    <w:rsid w:val="0086123B"/>
    <w:rsid w:val="00861268"/>
    <w:rsid w:val="0086181C"/>
    <w:rsid w:val="00862BE5"/>
    <w:rsid w:val="00863614"/>
    <w:rsid w:val="00863653"/>
    <w:rsid w:val="00865384"/>
    <w:rsid w:val="00867C25"/>
    <w:rsid w:val="00870B73"/>
    <w:rsid w:val="00870C40"/>
    <w:rsid w:val="00870E68"/>
    <w:rsid w:val="00871449"/>
    <w:rsid w:val="008714DE"/>
    <w:rsid w:val="00875138"/>
    <w:rsid w:val="008768E4"/>
    <w:rsid w:val="00877ACE"/>
    <w:rsid w:val="00877DA4"/>
    <w:rsid w:val="00880EB4"/>
    <w:rsid w:val="008827AA"/>
    <w:rsid w:val="00883B72"/>
    <w:rsid w:val="00886272"/>
    <w:rsid w:val="008876B2"/>
    <w:rsid w:val="00891220"/>
    <w:rsid w:val="008938A6"/>
    <w:rsid w:val="00894DA4"/>
    <w:rsid w:val="008A02DA"/>
    <w:rsid w:val="008A0DFD"/>
    <w:rsid w:val="008A26CA"/>
    <w:rsid w:val="008A3B96"/>
    <w:rsid w:val="008A44F7"/>
    <w:rsid w:val="008A5580"/>
    <w:rsid w:val="008B05EF"/>
    <w:rsid w:val="008B22EF"/>
    <w:rsid w:val="008B3C12"/>
    <w:rsid w:val="008B4E1E"/>
    <w:rsid w:val="008B7C2E"/>
    <w:rsid w:val="008C002D"/>
    <w:rsid w:val="008C0264"/>
    <w:rsid w:val="008C0936"/>
    <w:rsid w:val="008C0ED0"/>
    <w:rsid w:val="008C1E79"/>
    <w:rsid w:val="008C55DF"/>
    <w:rsid w:val="008C6D7D"/>
    <w:rsid w:val="008C718E"/>
    <w:rsid w:val="008D0D61"/>
    <w:rsid w:val="008D2C66"/>
    <w:rsid w:val="008D2E64"/>
    <w:rsid w:val="008D3EBA"/>
    <w:rsid w:val="008D4033"/>
    <w:rsid w:val="008E094B"/>
    <w:rsid w:val="008E142C"/>
    <w:rsid w:val="008E77BC"/>
    <w:rsid w:val="008F000A"/>
    <w:rsid w:val="008F0060"/>
    <w:rsid w:val="008F1CAB"/>
    <w:rsid w:val="008F2122"/>
    <w:rsid w:val="008F2CA4"/>
    <w:rsid w:val="008F4013"/>
    <w:rsid w:val="008F4FC9"/>
    <w:rsid w:val="008F5243"/>
    <w:rsid w:val="008F5484"/>
    <w:rsid w:val="008F616E"/>
    <w:rsid w:val="008F78E1"/>
    <w:rsid w:val="0090100C"/>
    <w:rsid w:val="009018D7"/>
    <w:rsid w:val="0090244E"/>
    <w:rsid w:val="0090293D"/>
    <w:rsid w:val="0090303B"/>
    <w:rsid w:val="009054B6"/>
    <w:rsid w:val="009067BE"/>
    <w:rsid w:val="009109BD"/>
    <w:rsid w:val="00910FA7"/>
    <w:rsid w:val="009125B1"/>
    <w:rsid w:val="009155C2"/>
    <w:rsid w:val="00915E46"/>
    <w:rsid w:val="00915F32"/>
    <w:rsid w:val="00917A3F"/>
    <w:rsid w:val="00917C1B"/>
    <w:rsid w:val="009216FC"/>
    <w:rsid w:val="009227DD"/>
    <w:rsid w:val="00926473"/>
    <w:rsid w:val="00926BB0"/>
    <w:rsid w:val="00933015"/>
    <w:rsid w:val="00933984"/>
    <w:rsid w:val="00936440"/>
    <w:rsid w:val="009411B2"/>
    <w:rsid w:val="0094257F"/>
    <w:rsid w:val="00943D5F"/>
    <w:rsid w:val="0094488C"/>
    <w:rsid w:val="00945FC7"/>
    <w:rsid w:val="00950E8A"/>
    <w:rsid w:val="00951D18"/>
    <w:rsid w:val="00954477"/>
    <w:rsid w:val="0095729C"/>
    <w:rsid w:val="00960737"/>
    <w:rsid w:val="00961DC7"/>
    <w:rsid w:val="00962893"/>
    <w:rsid w:val="00962A78"/>
    <w:rsid w:val="0096372C"/>
    <w:rsid w:val="00963F20"/>
    <w:rsid w:val="00964937"/>
    <w:rsid w:val="00965868"/>
    <w:rsid w:val="00965C76"/>
    <w:rsid w:val="00966F14"/>
    <w:rsid w:val="0096798A"/>
    <w:rsid w:val="00970915"/>
    <w:rsid w:val="00970EDE"/>
    <w:rsid w:val="00971542"/>
    <w:rsid w:val="00971AAC"/>
    <w:rsid w:val="00972159"/>
    <w:rsid w:val="00972478"/>
    <w:rsid w:val="0097296F"/>
    <w:rsid w:val="009748DB"/>
    <w:rsid w:val="00974DDA"/>
    <w:rsid w:val="00974E1E"/>
    <w:rsid w:val="00980904"/>
    <w:rsid w:val="00981961"/>
    <w:rsid w:val="009827BA"/>
    <w:rsid w:val="00982DB1"/>
    <w:rsid w:val="009835A7"/>
    <w:rsid w:val="00984625"/>
    <w:rsid w:val="00984A0C"/>
    <w:rsid w:val="0098648B"/>
    <w:rsid w:val="00987110"/>
    <w:rsid w:val="00987D21"/>
    <w:rsid w:val="00987DC4"/>
    <w:rsid w:val="009900A2"/>
    <w:rsid w:val="00990270"/>
    <w:rsid w:val="00990381"/>
    <w:rsid w:val="00991107"/>
    <w:rsid w:val="009935B4"/>
    <w:rsid w:val="00996CBC"/>
    <w:rsid w:val="0099753D"/>
    <w:rsid w:val="009A2015"/>
    <w:rsid w:val="009A24CD"/>
    <w:rsid w:val="009A2E9A"/>
    <w:rsid w:val="009A3339"/>
    <w:rsid w:val="009A41D1"/>
    <w:rsid w:val="009A52E5"/>
    <w:rsid w:val="009B275B"/>
    <w:rsid w:val="009B2AFC"/>
    <w:rsid w:val="009B422B"/>
    <w:rsid w:val="009B47F8"/>
    <w:rsid w:val="009B4FD6"/>
    <w:rsid w:val="009B5A45"/>
    <w:rsid w:val="009C1434"/>
    <w:rsid w:val="009C1B1D"/>
    <w:rsid w:val="009C2259"/>
    <w:rsid w:val="009C4A21"/>
    <w:rsid w:val="009C55C5"/>
    <w:rsid w:val="009C594E"/>
    <w:rsid w:val="009C7000"/>
    <w:rsid w:val="009C7530"/>
    <w:rsid w:val="009C753A"/>
    <w:rsid w:val="009C7D9F"/>
    <w:rsid w:val="009C7F49"/>
    <w:rsid w:val="009D1214"/>
    <w:rsid w:val="009D12FC"/>
    <w:rsid w:val="009D39AB"/>
    <w:rsid w:val="009D4310"/>
    <w:rsid w:val="009D57A1"/>
    <w:rsid w:val="009E15A8"/>
    <w:rsid w:val="009E2827"/>
    <w:rsid w:val="009E5041"/>
    <w:rsid w:val="009E5637"/>
    <w:rsid w:val="009E5FC4"/>
    <w:rsid w:val="009E7C8F"/>
    <w:rsid w:val="009F22A3"/>
    <w:rsid w:val="009F4E46"/>
    <w:rsid w:val="009F5C5B"/>
    <w:rsid w:val="009F7442"/>
    <w:rsid w:val="009F7AF3"/>
    <w:rsid w:val="00A00385"/>
    <w:rsid w:val="00A005F4"/>
    <w:rsid w:val="00A01439"/>
    <w:rsid w:val="00A02E0C"/>
    <w:rsid w:val="00A031AF"/>
    <w:rsid w:val="00A039C2"/>
    <w:rsid w:val="00A0624B"/>
    <w:rsid w:val="00A06BF0"/>
    <w:rsid w:val="00A12350"/>
    <w:rsid w:val="00A12FE9"/>
    <w:rsid w:val="00A1358A"/>
    <w:rsid w:val="00A13A84"/>
    <w:rsid w:val="00A16A95"/>
    <w:rsid w:val="00A170DA"/>
    <w:rsid w:val="00A200C5"/>
    <w:rsid w:val="00A20C6D"/>
    <w:rsid w:val="00A217AA"/>
    <w:rsid w:val="00A21C1A"/>
    <w:rsid w:val="00A22CF0"/>
    <w:rsid w:val="00A231EB"/>
    <w:rsid w:val="00A23C8D"/>
    <w:rsid w:val="00A248D3"/>
    <w:rsid w:val="00A26669"/>
    <w:rsid w:val="00A27A13"/>
    <w:rsid w:val="00A30437"/>
    <w:rsid w:val="00A32039"/>
    <w:rsid w:val="00A322AA"/>
    <w:rsid w:val="00A33439"/>
    <w:rsid w:val="00A36BC8"/>
    <w:rsid w:val="00A40F53"/>
    <w:rsid w:val="00A43042"/>
    <w:rsid w:val="00A51714"/>
    <w:rsid w:val="00A529E7"/>
    <w:rsid w:val="00A54655"/>
    <w:rsid w:val="00A55A68"/>
    <w:rsid w:val="00A62AC8"/>
    <w:rsid w:val="00A64EB6"/>
    <w:rsid w:val="00A65A2A"/>
    <w:rsid w:val="00A7051B"/>
    <w:rsid w:val="00A70879"/>
    <w:rsid w:val="00A709B6"/>
    <w:rsid w:val="00A71AAE"/>
    <w:rsid w:val="00A727FC"/>
    <w:rsid w:val="00A73037"/>
    <w:rsid w:val="00A7331B"/>
    <w:rsid w:val="00A759B2"/>
    <w:rsid w:val="00A81E3F"/>
    <w:rsid w:val="00A83965"/>
    <w:rsid w:val="00A85C71"/>
    <w:rsid w:val="00A87571"/>
    <w:rsid w:val="00A875BE"/>
    <w:rsid w:val="00A91E17"/>
    <w:rsid w:val="00A935CD"/>
    <w:rsid w:val="00A93E5E"/>
    <w:rsid w:val="00A962BA"/>
    <w:rsid w:val="00A96C92"/>
    <w:rsid w:val="00AA242A"/>
    <w:rsid w:val="00AA258F"/>
    <w:rsid w:val="00AA437C"/>
    <w:rsid w:val="00AB2BF1"/>
    <w:rsid w:val="00AB3B35"/>
    <w:rsid w:val="00AB452B"/>
    <w:rsid w:val="00AB6C88"/>
    <w:rsid w:val="00AB741A"/>
    <w:rsid w:val="00AC1C97"/>
    <w:rsid w:val="00AC23BC"/>
    <w:rsid w:val="00AC3E6E"/>
    <w:rsid w:val="00AC4DB2"/>
    <w:rsid w:val="00AD0DF3"/>
    <w:rsid w:val="00AD0FA4"/>
    <w:rsid w:val="00AD1788"/>
    <w:rsid w:val="00AD4DF5"/>
    <w:rsid w:val="00AD65D7"/>
    <w:rsid w:val="00AD7DC9"/>
    <w:rsid w:val="00AE08F5"/>
    <w:rsid w:val="00AE0DD5"/>
    <w:rsid w:val="00AE1FC7"/>
    <w:rsid w:val="00AE407A"/>
    <w:rsid w:val="00AE44E1"/>
    <w:rsid w:val="00AF03F3"/>
    <w:rsid w:val="00AF0A21"/>
    <w:rsid w:val="00AF2423"/>
    <w:rsid w:val="00AF3C4B"/>
    <w:rsid w:val="00AF6BE4"/>
    <w:rsid w:val="00AF7C5F"/>
    <w:rsid w:val="00AF7DAC"/>
    <w:rsid w:val="00B01433"/>
    <w:rsid w:val="00B016F2"/>
    <w:rsid w:val="00B01E67"/>
    <w:rsid w:val="00B01E79"/>
    <w:rsid w:val="00B02C72"/>
    <w:rsid w:val="00B037DD"/>
    <w:rsid w:val="00B05426"/>
    <w:rsid w:val="00B06387"/>
    <w:rsid w:val="00B065EA"/>
    <w:rsid w:val="00B116BF"/>
    <w:rsid w:val="00B14C60"/>
    <w:rsid w:val="00B14FF8"/>
    <w:rsid w:val="00B15939"/>
    <w:rsid w:val="00B15997"/>
    <w:rsid w:val="00B177D8"/>
    <w:rsid w:val="00B2106B"/>
    <w:rsid w:val="00B22A23"/>
    <w:rsid w:val="00B22A54"/>
    <w:rsid w:val="00B237E3"/>
    <w:rsid w:val="00B26E5A"/>
    <w:rsid w:val="00B2756A"/>
    <w:rsid w:val="00B308A6"/>
    <w:rsid w:val="00B30945"/>
    <w:rsid w:val="00B31B50"/>
    <w:rsid w:val="00B35F6C"/>
    <w:rsid w:val="00B369A3"/>
    <w:rsid w:val="00B36A6D"/>
    <w:rsid w:val="00B41484"/>
    <w:rsid w:val="00B43B3D"/>
    <w:rsid w:val="00B44DCA"/>
    <w:rsid w:val="00B452BF"/>
    <w:rsid w:val="00B45531"/>
    <w:rsid w:val="00B4554E"/>
    <w:rsid w:val="00B46168"/>
    <w:rsid w:val="00B46E8F"/>
    <w:rsid w:val="00B52843"/>
    <w:rsid w:val="00B52E7C"/>
    <w:rsid w:val="00B531D3"/>
    <w:rsid w:val="00B53FA3"/>
    <w:rsid w:val="00B5534F"/>
    <w:rsid w:val="00B5542D"/>
    <w:rsid w:val="00B56564"/>
    <w:rsid w:val="00B56686"/>
    <w:rsid w:val="00B56ADC"/>
    <w:rsid w:val="00B61812"/>
    <w:rsid w:val="00B61FDA"/>
    <w:rsid w:val="00B6211E"/>
    <w:rsid w:val="00B645FE"/>
    <w:rsid w:val="00B64B3A"/>
    <w:rsid w:val="00B65103"/>
    <w:rsid w:val="00B661CC"/>
    <w:rsid w:val="00B6635F"/>
    <w:rsid w:val="00B66600"/>
    <w:rsid w:val="00B66B44"/>
    <w:rsid w:val="00B671B6"/>
    <w:rsid w:val="00B67FFD"/>
    <w:rsid w:val="00B739CB"/>
    <w:rsid w:val="00B74A18"/>
    <w:rsid w:val="00B756AC"/>
    <w:rsid w:val="00B76789"/>
    <w:rsid w:val="00B768DF"/>
    <w:rsid w:val="00B8085E"/>
    <w:rsid w:val="00B80B04"/>
    <w:rsid w:val="00B81810"/>
    <w:rsid w:val="00B81D9E"/>
    <w:rsid w:val="00B8243E"/>
    <w:rsid w:val="00B834DC"/>
    <w:rsid w:val="00B83C1B"/>
    <w:rsid w:val="00B84D90"/>
    <w:rsid w:val="00B86E8C"/>
    <w:rsid w:val="00B871B9"/>
    <w:rsid w:val="00B91410"/>
    <w:rsid w:val="00B954B7"/>
    <w:rsid w:val="00B95E87"/>
    <w:rsid w:val="00B96A93"/>
    <w:rsid w:val="00B97DAC"/>
    <w:rsid w:val="00BA094A"/>
    <w:rsid w:val="00BA1662"/>
    <w:rsid w:val="00BA1C5C"/>
    <w:rsid w:val="00BA3D5B"/>
    <w:rsid w:val="00BA492F"/>
    <w:rsid w:val="00BA79EF"/>
    <w:rsid w:val="00BB0743"/>
    <w:rsid w:val="00BB1C87"/>
    <w:rsid w:val="00BB3949"/>
    <w:rsid w:val="00BB4182"/>
    <w:rsid w:val="00BB44B1"/>
    <w:rsid w:val="00BB5A61"/>
    <w:rsid w:val="00BB6FC2"/>
    <w:rsid w:val="00BB72A7"/>
    <w:rsid w:val="00BB75C0"/>
    <w:rsid w:val="00BC05A1"/>
    <w:rsid w:val="00BC0C24"/>
    <w:rsid w:val="00BC2DFE"/>
    <w:rsid w:val="00BC39A4"/>
    <w:rsid w:val="00BC511F"/>
    <w:rsid w:val="00BC56EA"/>
    <w:rsid w:val="00BC62CC"/>
    <w:rsid w:val="00BC65CA"/>
    <w:rsid w:val="00BC6FE6"/>
    <w:rsid w:val="00BD0BEB"/>
    <w:rsid w:val="00BD2CBD"/>
    <w:rsid w:val="00BD36F9"/>
    <w:rsid w:val="00BD3C23"/>
    <w:rsid w:val="00BD4941"/>
    <w:rsid w:val="00BD4DDB"/>
    <w:rsid w:val="00BD519A"/>
    <w:rsid w:val="00BD55F3"/>
    <w:rsid w:val="00BD5FF6"/>
    <w:rsid w:val="00BE0043"/>
    <w:rsid w:val="00BE2ABF"/>
    <w:rsid w:val="00BE3ACE"/>
    <w:rsid w:val="00BE4F0D"/>
    <w:rsid w:val="00BE7208"/>
    <w:rsid w:val="00BF3FE3"/>
    <w:rsid w:val="00BF62D4"/>
    <w:rsid w:val="00BF7525"/>
    <w:rsid w:val="00C003CE"/>
    <w:rsid w:val="00C010D9"/>
    <w:rsid w:val="00C03B4A"/>
    <w:rsid w:val="00C04911"/>
    <w:rsid w:val="00C05A72"/>
    <w:rsid w:val="00C06006"/>
    <w:rsid w:val="00C07987"/>
    <w:rsid w:val="00C07D9F"/>
    <w:rsid w:val="00C102F7"/>
    <w:rsid w:val="00C10C45"/>
    <w:rsid w:val="00C10E43"/>
    <w:rsid w:val="00C136C8"/>
    <w:rsid w:val="00C146C8"/>
    <w:rsid w:val="00C14986"/>
    <w:rsid w:val="00C157F5"/>
    <w:rsid w:val="00C161DD"/>
    <w:rsid w:val="00C168FD"/>
    <w:rsid w:val="00C16CF2"/>
    <w:rsid w:val="00C17BB3"/>
    <w:rsid w:val="00C21BF8"/>
    <w:rsid w:val="00C246CC"/>
    <w:rsid w:val="00C24C07"/>
    <w:rsid w:val="00C24F5F"/>
    <w:rsid w:val="00C2550D"/>
    <w:rsid w:val="00C25CFA"/>
    <w:rsid w:val="00C31215"/>
    <w:rsid w:val="00C31871"/>
    <w:rsid w:val="00C342D1"/>
    <w:rsid w:val="00C370F6"/>
    <w:rsid w:val="00C37CB5"/>
    <w:rsid w:val="00C42C9B"/>
    <w:rsid w:val="00C4370A"/>
    <w:rsid w:val="00C43F75"/>
    <w:rsid w:val="00C44FB4"/>
    <w:rsid w:val="00C44FEF"/>
    <w:rsid w:val="00C45397"/>
    <w:rsid w:val="00C453D6"/>
    <w:rsid w:val="00C45E87"/>
    <w:rsid w:val="00C46448"/>
    <w:rsid w:val="00C47A68"/>
    <w:rsid w:val="00C47F9C"/>
    <w:rsid w:val="00C50F5A"/>
    <w:rsid w:val="00C5134D"/>
    <w:rsid w:val="00C51F57"/>
    <w:rsid w:val="00C52089"/>
    <w:rsid w:val="00C5371A"/>
    <w:rsid w:val="00C544AA"/>
    <w:rsid w:val="00C566C5"/>
    <w:rsid w:val="00C56E32"/>
    <w:rsid w:val="00C576A5"/>
    <w:rsid w:val="00C60134"/>
    <w:rsid w:val="00C60DDB"/>
    <w:rsid w:val="00C62535"/>
    <w:rsid w:val="00C62B4F"/>
    <w:rsid w:val="00C65D20"/>
    <w:rsid w:val="00C6633C"/>
    <w:rsid w:val="00C66B10"/>
    <w:rsid w:val="00C673A5"/>
    <w:rsid w:val="00C724CF"/>
    <w:rsid w:val="00C75B90"/>
    <w:rsid w:val="00C75DFE"/>
    <w:rsid w:val="00C767D8"/>
    <w:rsid w:val="00C76A56"/>
    <w:rsid w:val="00C806DB"/>
    <w:rsid w:val="00C80BE4"/>
    <w:rsid w:val="00C81231"/>
    <w:rsid w:val="00C81866"/>
    <w:rsid w:val="00C82DC9"/>
    <w:rsid w:val="00C831D0"/>
    <w:rsid w:val="00C84539"/>
    <w:rsid w:val="00C86602"/>
    <w:rsid w:val="00C87272"/>
    <w:rsid w:val="00C87D0F"/>
    <w:rsid w:val="00C92D24"/>
    <w:rsid w:val="00C93745"/>
    <w:rsid w:val="00CA1A31"/>
    <w:rsid w:val="00CA34D2"/>
    <w:rsid w:val="00CA397E"/>
    <w:rsid w:val="00CA5AB6"/>
    <w:rsid w:val="00CA6011"/>
    <w:rsid w:val="00CA676D"/>
    <w:rsid w:val="00CA6AA3"/>
    <w:rsid w:val="00CB05E0"/>
    <w:rsid w:val="00CB0658"/>
    <w:rsid w:val="00CB3890"/>
    <w:rsid w:val="00CB39B6"/>
    <w:rsid w:val="00CB3F8D"/>
    <w:rsid w:val="00CB4A05"/>
    <w:rsid w:val="00CB5649"/>
    <w:rsid w:val="00CB5817"/>
    <w:rsid w:val="00CB67F7"/>
    <w:rsid w:val="00CB6B0F"/>
    <w:rsid w:val="00CC2ABE"/>
    <w:rsid w:val="00CC52DE"/>
    <w:rsid w:val="00CC5F45"/>
    <w:rsid w:val="00CC6E01"/>
    <w:rsid w:val="00CC7C85"/>
    <w:rsid w:val="00CD1730"/>
    <w:rsid w:val="00CD2DEF"/>
    <w:rsid w:val="00CD7369"/>
    <w:rsid w:val="00CE06C9"/>
    <w:rsid w:val="00CE2576"/>
    <w:rsid w:val="00CE32AF"/>
    <w:rsid w:val="00CE5D56"/>
    <w:rsid w:val="00CE60A7"/>
    <w:rsid w:val="00CF128F"/>
    <w:rsid w:val="00CF5B5A"/>
    <w:rsid w:val="00CF7C56"/>
    <w:rsid w:val="00D0016C"/>
    <w:rsid w:val="00D00793"/>
    <w:rsid w:val="00D02600"/>
    <w:rsid w:val="00D02C49"/>
    <w:rsid w:val="00D02DF0"/>
    <w:rsid w:val="00D03D34"/>
    <w:rsid w:val="00D04032"/>
    <w:rsid w:val="00D05920"/>
    <w:rsid w:val="00D05943"/>
    <w:rsid w:val="00D072C8"/>
    <w:rsid w:val="00D11568"/>
    <w:rsid w:val="00D15EF6"/>
    <w:rsid w:val="00D17003"/>
    <w:rsid w:val="00D17C42"/>
    <w:rsid w:val="00D200A9"/>
    <w:rsid w:val="00D20336"/>
    <w:rsid w:val="00D21D8E"/>
    <w:rsid w:val="00D24A90"/>
    <w:rsid w:val="00D24D2D"/>
    <w:rsid w:val="00D2522A"/>
    <w:rsid w:val="00D257B6"/>
    <w:rsid w:val="00D26D26"/>
    <w:rsid w:val="00D279CF"/>
    <w:rsid w:val="00D3021F"/>
    <w:rsid w:val="00D309F5"/>
    <w:rsid w:val="00D30C47"/>
    <w:rsid w:val="00D318C4"/>
    <w:rsid w:val="00D31A54"/>
    <w:rsid w:val="00D31EDE"/>
    <w:rsid w:val="00D3227C"/>
    <w:rsid w:val="00D3358D"/>
    <w:rsid w:val="00D33904"/>
    <w:rsid w:val="00D349DC"/>
    <w:rsid w:val="00D34FAC"/>
    <w:rsid w:val="00D36E47"/>
    <w:rsid w:val="00D36F64"/>
    <w:rsid w:val="00D378FE"/>
    <w:rsid w:val="00D4008B"/>
    <w:rsid w:val="00D40E81"/>
    <w:rsid w:val="00D42A48"/>
    <w:rsid w:val="00D448C5"/>
    <w:rsid w:val="00D458B9"/>
    <w:rsid w:val="00D468E9"/>
    <w:rsid w:val="00D46EFF"/>
    <w:rsid w:val="00D47602"/>
    <w:rsid w:val="00D507D7"/>
    <w:rsid w:val="00D50896"/>
    <w:rsid w:val="00D50ED9"/>
    <w:rsid w:val="00D52D8E"/>
    <w:rsid w:val="00D52E56"/>
    <w:rsid w:val="00D5373C"/>
    <w:rsid w:val="00D5698E"/>
    <w:rsid w:val="00D56C5D"/>
    <w:rsid w:val="00D56D65"/>
    <w:rsid w:val="00D63326"/>
    <w:rsid w:val="00D637E9"/>
    <w:rsid w:val="00D653FA"/>
    <w:rsid w:val="00D65410"/>
    <w:rsid w:val="00D67E29"/>
    <w:rsid w:val="00D67EE1"/>
    <w:rsid w:val="00D67F1E"/>
    <w:rsid w:val="00D7509B"/>
    <w:rsid w:val="00D75417"/>
    <w:rsid w:val="00D7654C"/>
    <w:rsid w:val="00D76B67"/>
    <w:rsid w:val="00D77BE3"/>
    <w:rsid w:val="00D814DF"/>
    <w:rsid w:val="00D8299D"/>
    <w:rsid w:val="00D839FC"/>
    <w:rsid w:val="00D84720"/>
    <w:rsid w:val="00D85064"/>
    <w:rsid w:val="00D85205"/>
    <w:rsid w:val="00D85418"/>
    <w:rsid w:val="00D857D0"/>
    <w:rsid w:val="00D87C6F"/>
    <w:rsid w:val="00D87DDC"/>
    <w:rsid w:val="00D87F47"/>
    <w:rsid w:val="00D91F2D"/>
    <w:rsid w:val="00D92C26"/>
    <w:rsid w:val="00D93A40"/>
    <w:rsid w:val="00D95930"/>
    <w:rsid w:val="00D97539"/>
    <w:rsid w:val="00DA129C"/>
    <w:rsid w:val="00DA1793"/>
    <w:rsid w:val="00DA2228"/>
    <w:rsid w:val="00DA22A8"/>
    <w:rsid w:val="00DA2C68"/>
    <w:rsid w:val="00DA4C6D"/>
    <w:rsid w:val="00DB0352"/>
    <w:rsid w:val="00DB0FFF"/>
    <w:rsid w:val="00DB1E1F"/>
    <w:rsid w:val="00DB3117"/>
    <w:rsid w:val="00DB47E9"/>
    <w:rsid w:val="00DB4E18"/>
    <w:rsid w:val="00DB6BEA"/>
    <w:rsid w:val="00DC01CF"/>
    <w:rsid w:val="00DC06C4"/>
    <w:rsid w:val="00DC268C"/>
    <w:rsid w:val="00DC2AF3"/>
    <w:rsid w:val="00DC536E"/>
    <w:rsid w:val="00DC5BF5"/>
    <w:rsid w:val="00DC6365"/>
    <w:rsid w:val="00DC7666"/>
    <w:rsid w:val="00DD0D7D"/>
    <w:rsid w:val="00DD3EDC"/>
    <w:rsid w:val="00DD4B53"/>
    <w:rsid w:val="00DD6051"/>
    <w:rsid w:val="00DD74ED"/>
    <w:rsid w:val="00DD7CDB"/>
    <w:rsid w:val="00DE272B"/>
    <w:rsid w:val="00DE2FD2"/>
    <w:rsid w:val="00DE3367"/>
    <w:rsid w:val="00DE53DC"/>
    <w:rsid w:val="00DE613C"/>
    <w:rsid w:val="00DE64CA"/>
    <w:rsid w:val="00DE7736"/>
    <w:rsid w:val="00DF0609"/>
    <w:rsid w:val="00DF1FA5"/>
    <w:rsid w:val="00DF2EEC"/>
    <w:rsid w:val="00DF3297"/>
    <w:rsid w:val="00DF5527"/>
    <w:rsid w:val="00DF77B3"/>
    <w:rsid w:val="00E0083B"/>
    <w:rsid w:val="00E01A90"/>
    <w:rsid w:val="00E01C9D"/>
    <w:rsid w:val="00E024C0"/>
    <w:rsid w:val="00E03A86"/>
    <w:rsid w:val="00E03B12"/>
    <w:rsid w:val="00E04078"/>
    <w:rsid w:val="00E067C9"/>
    <w:rsid w:val="00E0757B"/>
    <w:rsid w:val="00E07758"/>
    <w:rsid w:val="00E07E85"/>
    <w:rsid w:val="00E102BF"/>
    <w:rsid w:val="00E1050B"/>
    <w:rsid w:val="00E1105E"/>
    <w:rsid w:val="00E14067"/>
    <w:rsid w:val="00E1413B"/>
    <w:rsid w:val="00E1730A"/>
    <w:rsid w:val="00E17359"/>
    <w:rsid w:val="00E176CF"/>
    <w:rsid w:val="00E17DB3"/>
    <w:rsid w:val="00E209A2"/>
    <w:rsid w:val="00E20F17"/>
    <w:rsid w:val="00E22498"/>
    <w:rsid w:val="00E22737"/>
    <w:rsid w:val="00E23132"/>
    <w:rsid w:val="00E2522D"/>
    <w:rsid w:val="00E26E90"/>
    <w:rsid w:val="00E3036C"/>
    <w:rsid w:val="00E32C9B"/>
    <w:rsid w:val="00E32E2E"/>
    <w:rsid w:val="00E33014"/>
    <w:rsid w:val="00E33825"/>
    <w:rsid w:val="00E33862"/>
    <w:rsid w:val="00E33B6E"/>
    <w:rsid w:val="00E34138"/>
    <w:rsid w:val="00E35C12"/>
    <w:rsid w:val="00E4028C"/>
    <w:rsid w:val="00E40346"/>
    <w:rsid w:val="00E407C7"/>
    <w:rsid w:val="00E42951"/>
    <w:rsid w:val="00E44B61"/>
    <w:rsid w:val="00E45594"/>
    <w:rsid w:val="00E46C36"/>
    <w:rsid w:val="00E47E1A"/>
    <w:rsid w:val="00E504CF"/>
    <w:rsid w:val="00E5088F"/>
    <w:rsid w:val="00E525A8"/>
    <w:rsid w:val="00E52AD2"/>
    <w:rsid w:val="00E54CDF"/>
    <w:rsid w:val="00E54E74"/>
    <w:rsid w:val="00E56643"/>
    <w:rsid w:val="00E5680B"/>
    <w:rsid w:val="00E57C43"/>
    <w:rsid w:val="00E60D71"/>
    <w:rsid w:val="00E62C6E"/>
    <w:rsid w:val="00E63572"/>
    <w:rsid w:val="00E64205"/>
    <w:rsid w:val="00E64987"/>
    <w:rsid w:val="00E650A4"/>
    <w:rsid w:val="00E65C2B"/>
    <w:rsid w:val="00E6703D"/>
    <w:rsid w:val="00E70652"/>
    <w:rsid w:val="00E7186B"/>
    <w:rsid w:val="00E72327"/>
    <w:rsid w:val="00E753F9"/>
    <w:rsid w:val="00E75D99"/>
    <w:rsid w:val="00E81109"/>
    <w:rsid w:val="00E834A5"/>
    <w:rsid w:val="00E84BF3"/>
    <w:rsid w:val="00E859F1"/>
    <w:rsid w:val="00E86341"/>
    <w:rsid w:val="00E8759E"/>
    <w:rsid w:val="00E9056A"/>
    <w:rsid w:val="00E9086F"/>
    <w:rsid w:val="00E90F70"/>
    <w:rsid w:val="00E91123"/>
    <w:rsid w:val="00E92C30"/>
    <w:rsid w:val="00E93269"/>
    <w:rsid w:val="00E93DFE"/>
    <w:rsid w:val="00E95552"/>
    <w:rsid w:val="00E955CB"/>
    <w:rsid w:val="00EA24C1"/>
    <w:rsid w:val="00EA48F9"/>
    <w:rsid w:val="00EA496D"/>
    <w:rsid w:val="00EA518E"/>
    <w:rsid w:val="00EA6465"/>
    <w:rsid w:val="00EA6499"/>
    <w:rsid w:val="00EB00D4"/>
    <w:rsid w:val="00EB0166"/>
    <w:rsid w:val="00EB08A2"/>
    <w:rsid w:val="00EB198A"/>
    <w:rsid w:val="00EB28B2"/>
    <w:rsid w:val="00EB44B0"/>
    <w:rsid w:val="00EC2C6B"/>
    <w:rsid w:val="00EC3B7A"/>
    <w:rsid w:val="00ED13C2"/>
    <w:rsid w:val="00ED57A4"/>
    <w:rsid w:val="00ED5B12"/>
    <w:rsid w:val="00ED69F2"/>
    <w:rsid w:val="00ED732D"/>
    <w:rsid w:val="00ED7486"/>
    <w:rsid w:val="00EE07EA"/>
    <w:rsid w:val="00EE19BE"/>
    <w:rsid w:val="00EE21B0"/>
    <w:rsid w:val="00EE24A4"/>
    <w:rsid w:val="00EE3607"/>
    <w:rsid w:val="00EE40A9"/>
    <w:rsid w:val="00EE455F"/>
    <w:rsid w:val="00EE49F0"/>
    <w:rsid w:val="00EE66EF"/>
    <w:rsid w:val="00EE6AFF"/>
    <w:rsid w:val="00EE6DFD"/>
    <w:rsid w:val="00EE74AB"/>
    <w:rsid w:val="00EE7C95"/>
    <w:rsid w:val="00EE7D42"/>
    <w:rsid w:val="00EF1950"/>
    <w:rsid w:val="00EF215C"/>
    <w:rsid w:val="00EF22D3"/>
    <w:rsid w:val="00EF3E9D"/>
    <w:rsid w:val="00EF7C9D"/>
    <w:rsid w:val="00F00343"/>
    <w:rsid w:val="00F007F4"/>
    <w:rsid w:val="00F03B53"/>
    <w:rsid w:val="00F04834"/>
    <w:rsid w:val="00F05277"/>
    <w:rsid w:val="00F052F2"/>
    <w:rsid w:val="00F06457"/>
    <w:rsid w:val="00F074A4"/>
    <w:rsid w:val="00F10845"/>
    <w:rsid w:val="00F114AA"/>
    <w:rsid w:val="00F13C6D"/>
    <w:rsid w:val="00F14C80"/>
    <w:rsid w:val="00F20316"/>
    <w:rsid w:val="00F208A3"/>
    <w:rsid w:val="00F211C1"/>
    <w:rsid w:val="00F21D60"/>
    <w:rsid w:val="00F235B2"/>
    <w:rsid w:val="00F326E7"/>
    <w:rsid w:val="00F32D60"/>
    <w:rsid w:val="00F35E08"/>
    <w:rsid w:val="00F40553"/>
    <w:rsid w:val="00F426C3"/>
    <w:rsid w:val="00F42B9D"/>
    <w:rsid w:val="00F4338D"/>
    <w:rsid w:val="00F43B22"/>
    <w:rsid w:val="00F4454E"/>
    <w:rsid w:val="00F462D4"/>
    <w:rsid w:val="00F47AA1"/>
    <w:rsid w:val="00F536CE"/>
    <w:rsid w:val="00F55C47"/>
    <w:rsid w:val="00F5602D"/>
    <w:rsid w:val="00F56BD0"/>
    <w:rsid w:val="00F57E85"/>
    <w:rsid w:val="00F6014E"/>
    <w:rsid w:val="00F60975"/>
    <w:rsid w:val="00F622FC"/>
    <w:rsid w:val="00F6281B"/>
    <w:rsid w:val="00F664C2"/>
    <w:rsid w:val="00F66C47"/>
    <w:rsid w:val="00F704CD"/>
    <w:rsid w:val="00F713A3"/>
    <w:rsid w:val="00F71C3B"/>
    <w:rsid w:val="00F71C42"/>
    <w:rsid w:val="00F72935"/>
    <w:rsid w:val="00F735F5"/>
    <w:rsid w:val="00F73EE6"/>
    <w:rsid w:val="00F76100"/>
    <w:rsid w:val="00F7621F"/>
    <w:rsid w:val="00F813A0"/>
    <w:rsid w:val="00F815C6"/>
    <w:rsid w:val="00F8224F"/>
    <w:rsid w:val="00F83B9C"/>
    <w:rsid w:val="00F83C97"/>
    <w:rsid w:val="00F84A48"/>
    <w:rsid w:val="00F84C3E"/>
    <w:rsid w:val="00F8582A"/>
    <w:rsid w:val="00F879C9"/>
    <w:rsid w:val="00F90F1F"/>
    <w:rsid w:val="00F91111"/>
    <w:rsid w:val="00F918E4"/>
    <w:rsid w:val="00F9355B"/>
    <w:rsid w:val="00F93827"/>
    <w:rsid w:val="00F93AB2"/>
    <w:rsid w:val="00F94323"/>
    <w:rsid w:val="00F94BA3"/>
    <w:rsid w:val="00F94E32"/>
    <w:rsid w:val="00F95008"/>
    <w:rsid w:val="00F96A68"/>
    <w:rsid w:val="00F97117"/>
    <w:rsid w:val="00FA075C"/>
    <w:rsid w:val="00FA086F"/>
    <w:rsid w:val="00FA2557"/>
    <w:rsid w:val="00FA2B54"/>
    <w:rsid w:val="00FA5411"/>
    <w:rsid w:val="00FA65E4"/>
    <w:rsid w:val="00FA6B96"/>
    <w:rsid w:val="00FA7233"/>
    <w:rsid w:val="00FB06F7"/>
    <w:rsid w:val="00FB10A1"/>
    <w:rsid w:val="00FB10F6"/>
    <w:rsid w:val="00FB13A9"/>
    <w:rsid w:val="00FB1C15"/>
    <w:rsid w:val="00FB4C6C"/>
    <w:rsid w:val="00FB619A"/>
    <w:rsid w:val="00FB6B98"/>
    <w:rsid w:val="00FC07AE"/>
    <w:rsid w:val="00FC0B42"/>
    <w:rsid w:val="00FC4C2F"/>
    <w:rsid w:val="00FC7CE8"/>
    <w:rsid w:val="00FD2B2F"/>
    <w:rsid w:val="00FD2E85"/>
    <w:rsid w:val="00FD38EA"/>
    <w:rsid w:val="00FD3A4A"/>
    <w:rsid w:val="00FD41A0"/>
    <w:rsid w:val="00FD423F"/>
    <w:rsid w:val="00FD4D60"/>
    <w:rsid w:val="00FD4EA0"/>
    <w:rsid w:val="00FD5788"/>
    <w:rsid w:val="00FD6CFD"/>
    <w:rsid w:val="00FE15D8"/>
    <w:rsid w:val="00FE2CA7"/>
    <w:rsid w:val="00FE3983"/>
    <w:rsid w:val="00FE496F"/>
    <w:rsid w:val="00FE4CE5"/>
    <w:rsid w:val="00FE5232"/>
    <w:rsid w:val="00FE56B4"/>
    <w:rsid w:val="00FE79C3"/>
    <w:rsid w:val="00FF0777"/>
    <w:rsid w:val="00FF0962"/>
    <w:rsid w:val="00FF33A6"/>
    <w:rsid w:val="00FF56B9"/>
    <w:rsid w:val="010414FC"/>
    <w:rsid w:val="0116323C"/>
    <w:rsid w:val="013E0D09"/>
    <w:rsid w:val="015B00EF"/>
    <w:rsid w:val="01636BD2"/>
    <w:rsid w:val="01894141"/>
    <w:rsid w:val="01B76A6C"/>
    <w:rsid w:val="01CA5925"/>
    <w:rsid w:val="021C549E"/>
    <w:rsid w:val="021F7D13"/>
    <w:rsid w:val="0231625C"/>
    <w:rsid w:val="02960B12"/>
    <w:rsid w:val="03076103"/>
    <w:rsid w:val="030D2E5C"/>
    <w:rsid w:val="031872DA"/>
    <w:rsid w:val="035C4023"/>
    <w:rsid w:val="036C2E8B"/>
    <w:rsid w:val="0373537E"/>
    <w:rsid w:val="03A32A9C"/>
    <w:rsid w:val="03AF6449"/>
    <w:rsid w:val="03B07CF6"/>
    <w:rsid w:val="03CF035A"/>
    <w:rsid w:val="041B1854"/>
    <w:rsid w:val="046A4EF6"/>
    <w:rsid w:val="047845F2"/>
    <w:rsid w:val="048E3E9E"/>
    <w:rsid w:val="04A52A61"/>
    <w:rsid w:val="04A7538F"/>
    <w:rsid w:val="04D0306B"/>
    <w:rsid w:val="04DC5F11"/>
    <w:rsid w:val="04F2596D"/>
    <w:rsid w:val="04F96382"/>
    <w:rsid w:val="052119EB"/>
    <w:rsid w:val="05666D40"/>
    <w:rsid w:val="05697A97"/>
    <w:rsid w:val="057C75D4"/>
    <w:rsid w:val="059664FE"/>
    <w:rsid w:val="059E2844"/>
    <w:rsid w:val="062248BF"/>
    <w:rsid w:val="06291560"/>
    <w:rsid w:val="06637CB5"/>
    <w:rsid w:val="069922F2"/>
    <w:rsid w:val="06BA6230"/>
    <w:rsid w:val="06D5575C"/>
    <w:rsid w:val="06D70B93"/>
    <w:rsid w:val="07066E28"/>
    <w:rsid w:val="071C4210"/>
    <w:rsid w:val="07503928"/>
    <w:rsid w:val="076929AD"/>
    <w:rsid w:val="077A2A91"/>
    <w:rsid w:val="0795247A"/>
    <w:rsid w:val="079C2DC6"/>
    <w:rsid w:val="079D3BFE"/>
    <w:rsid w:val="079F7A78"/>
    <w:rsid w:val="07D72F62"/>
    <w:rsid w:val="080C68A4"/>
    <w:rsid w:val="08521AC8"/>
    <w:rsid w:val="08A0673A"/>
    <w:rsid w:val="08D507E8"/>
    <w:rsid w:val="08E53713"/>
    <w:rsid w:val="08EB0DB5"/>
    <w:rsid w:val="093847E5"/>
    <w:rsid w:val="093A5478"/>
    <w:rsid w:val="09500B44"/>
    <w:rsid w:val="096B5E6B"/>
    <w:rsid w:val="09B7759F"/>
    <w:rsid w:val="0A1D3ED9"/>
    <w:rsid w:val="0A2A3F9E"/>
    <w:rsid w:val="0A3D0EB6"/>
    <w:rsid w:val="0A437A8A"/>
    <w:rsid w:val="0A697D58"/>
    <w:rsid w:val="0A8575C3"/>
    <w:rsid w:val="0AAB0E40"/>
    <w:rsid w:val="0AB51E54"/>
    <w:rsid w:val="0AD8257A"/>
    <w:rsid w:val="0AF1364C"/>
    <w:rsid w:val="0AF3530A"/>
    <w:rsid w:val="0B105EBD"/>
    <w:rsid w:val="0B5449D6"/>
    <w:rsid w:val="0B557FB5"/>
    <w:rsid w:val="0B9E27A2"/>
    <w:rsid w:val="0C034D75"/>
    <w:rsid w:val="0C1741B5"/>
    <w:rsid w:val="0CE519B7"/>
    <w:rsid w:val="0CFB5374"/>
    <w:rsid w:val="0D181B8B"/>
    <w:rsid w:val="0D1D6B9E"/>
    <w:rsid w:val="0D8C41D2"/>
    <w:rsid w:val="0DC46325"/>
    <w:rsid w:val="0DE6656B"/>
    <w:rsid w:val="0E0C46CB"/>
    <w:rsid w:val="0E0F1F76"/>
    <w:rsid w:val="0E0F76EF"/>
    <w:rsid w:val="0E2113BB"/>
    <w:rsid w:val="0E532A66"/>
    <w:rsid w:val="0E711C87"/>
    <w:rsid w:val="0E916AB6"/>
    <w:rsid w:val="0ED94ED4"/>
    <w:rsid w:val="0EEE27F6"/>
    <w:rsid w:val="0F49374E"/>
    <w:rsid w:val="0FB912A2"/>
    <w:rsid w:val="0FBB71AA"/>
    <w:rsid w:val="0FD711BC"/>
    <w:rsid w:val="0FD856FE"/>
    <w:rsid w:val="0FEF6528"/>
    <w:rsid w:val="101E70C0"/>
    <w:rsid w:val="101F0D25"/>
    <w:rsid w:val="10492EC0"/>
    <w:rsid w:val="10574267"/>
    <w:rsid w:val="106709B4"/>
    <w:rsid w:val="106C25AB"/>
    <w:rsid w:val="108B058A"/>
    <w:rsid w:val="10964AC3"/>
    <w:rsid w:val="10CD2B42"/>
    <w:rsid w:val="10E20EEB"/>
    <w:rsid w:val="10E812B1"/>
    <w:rsid w:val="11031BD1"/>
    <w:rsid w:val="11195ECF"/>
    <w:rsid w:val="113D2398"/>
    <w:rsid w:val="11461419"/>
    <w:rsid w:val="117C33AC"/>
    <w:rsid w:val="119E17D7"/>
    <w:rsid w:val="11A21183"/>
    <w:rsid w:val="11BA6351"/>
    <w:rsid w:val="11C77561"/>
    <w:rsid w:val="11F212B0"/>
    <w:rsid w:val="11F26835"/>
    <w:rsid w:val="120816AD"/>
    <w:rsid w:val="12237ACC"/>
    <w:rsid w:val="124F439A"/>
    <w:rsid w:val="12A30C8A"/>
    <w:rsid w:val="12F73924"/>
    <w:rsid w:val="1319591D"/>
    <w:rsid w:val="13291388"/>
    <w:rsid w:val="134C6D9D"/>
    <w:rsid w:val="13623B77"/>
    <w:rsid w:val="139F0478"/>
    <w:rsid w:val="13B7444D"/>
    <w:rsid w:val="13BD2D3A"/>
    <w:rsid w:val="13C93BA6"/>
    <w:rsid w:val="13DA600E"/>
    <w:rsid w:val="13E35BFE"/>
    <w:rsid w:val="13F4543E"/>
    <w:rsid w:val="14575067"/>
    <w:rsid w:val="14F978AE"/>
    <w:rsid w:val="15301C60"/>
    <w:rsid w:val="154F6C54"/>
    <w:rsid w:val="15502E85"/>
    <w:rsid w:val="155F6A37"/>
    <w:rsid w:val="1590504A"/>
    <w:rsid w:val="15E555E1"/>
    <w:rsid w:val="16ED41ED"/>
    <w:rsid w:val="16F717C1"/>
    <w:rsid w:val="171D2F05"/>
    <w:rsid w:val="17915DEC"/>
    <w:rsid w:val="183C1CF4"/>
    <w:rsid w:val="1882160E"/>
    <w:rsid w:val="18EF7D09"/>
    <w:rsid w:val="18F51F75"/>
    <w:rsid w:val="195742A5"/>
    <w:rsid w:val="195F37E5"/>
    <w:rsid w:val="199A7E99"/>
    <w:rsid w:val="1A7D0950"/>
    <w:rsid w:val="1A9936D3"/>
    <w:rsid w:val="1AC307C2"/>
    <w:rsid w:val="1AE029B3"/>
    <w:rsid w:val="1B056BFE"/>
    <w:rsid w:val="1B1827BC"/>
    <w:rsid w:val="1B664ACE"/>
    <w:rsid w:val="1B780D94"/>
    <w:rsid w:val="1B7F3FF8"/>
    <w:rsid w:val="1B803854"/>
    <w:rsid w:val="1BC15B0D"/>
    <w:rsid w:val="1C1774D0"/>
    <w:rsid w:val="1CB50117"/>
    <w:rsid w:val="1D006D9E"/>
    <w:rsid w:val="1D0A344B"/>
    <w:rsid w:val="1D3B0A57"/>
    <w:rsid w:val="1DB6555F"/>
    <w:rsid w:val="1DF724C8"/>
    <w:rsid w:val="1DF9035E"/>
    <w:rsid w:val="1E3F536F"/>
    <w:rsid w:val="1E6C6486"/>
    <w:rsid w:val="1E904E12"/>
    <w:rsid w:val="1EAC09F7"/>
    <w:rsid w:val="1EB27791"/>
    <w:rsid w:val="1EFD7E79"/>
    <w:rsid w:val="1F1E3D95"/>
    <w:rsid w:val="1F452839"/>
    <w:rsid w:val="1F4E2398"/>
    <w:rsid w:val="1F5A59FB"/>
    <w:rsid w:val="1FB272F4"/>
    <w:rsid w:val="1FC01EE7"/>
    <w:rsid w:val="202873C2"/>
    <w:rsid w:val="205F2AE1"/>
    <w:rsid w:val="20647AEA"/>
    <w:rsid w:val="207E64C1"/>
    <w:rsid w:val="20AA3D5F"/>
    <w:rsid w:val="20BC2229"/>
    <w:rsid w:val="215E2AE1"/>
    <w:rsid w:val="215E2D7D"/>
    <w:rsid w:val="217D0BA8"/>
    <w:rsid w:val="217E226A"/>
    <w:rsid w:val="217F45D8"/>
    <w:rsid w:val="21852A41"/>
    <w:rsid w:val="221A5BB2"/>
    <w:rsid w:val="221C4277"/>
    <w:rsid w:val="22424644"/>
    <w:rsid w:val="22626B3C"/>
    <w:rsid w:val="22CC26DF"/>
    <w:rsid w:val="22EC793F"/>
    <w:rsid w:val="22FA388F"/>
    <w:rsid w:val="22FF6A19"/>
    <w:rsid w:val="231F76BA"/>
    <w:rsid w:val="23257FCF"/>
    <w:rsid w:val="23380D4E"/>
    <w:rsid w:val="234526E8"/>
    <w:rsid w:val="235E418C"/>
    <w:rsid w:val="23C34D9B"/>
    <w:rsid w:val="246637BC"/>
    <w:rsid w:val="24822B4F"/>
    <w:rsid w:val="24A26156"/>
    <w:rsid w:val="24B014D0"/>
    <w:rsid w:val="24D8414F"/>
    <w:rsid w:val="25887398"/>
    <w:rsid w:val="258D4085"/>
    <w:rsid w:val="25963D38"/>
    <w:rsid w:val="25FC1480"/>
    <w:rsid w:val="2643424E"/>
    <w:rsid w:val="2643719B"/>
    <w:rsid w:val="26613272"/>
    <w:rsid w:val="26BE56AD"/>
    <w:rsid w:val="26D92DBA"/>
    <w:rsid w:val="273A77A7"/>
    <w:rsid w:val="27682944"/>
    <w:rsid w:val="27846BB1"/>
    <w:rsid w:val="27A40B90"/>
    <w:rsid w:val="27B12524"/>
    <w:rsid w:val="27D25AA3"/>
    <w:rsid w:val="27F158F3"/>
    <w:rsid w:val="28274BB4"/>
    <w:rsid w:val="28626C3A"/>
    <w:rsid w:val="28922C46"/>
    <w:rsid w:val="28C50DE6"/>
    <w:rsid w:val="294D42D3"/>
    <w:rsid w:val="297A741A"/>
    <w:rsid w:val="298D3342"/>
    <w:rsid w:val="29F56490"/>
    <w:rsid w:val="2A223ACE"/>
    <w:rsid w:val="2A774B62"/>
    <w:rsid w:val="2A886293"/>
    <w:rsid w:val="2AFB60BC"/>
    <w:rsid w:val="2AFE54B4"/>
    <w:rsid w:val="2B0719A3"/>
    <w:rsid w:val="2B20692D"/>
    <w:rsid w:val="2B677ED7"/>
    <w:rsid w:val="2B8010F1"/>
    <w:rsid w:val="2BA634A3"/>
    <w:rsid w:val="2BC7398F"/>
    <w:rsid w:val="2BE116E1"/>
    <w:rsid w:val="2BE45A54"/>
    <w:rsid w:val="2BF9060D"/>
    <w:rsid w:val="2C065B0B"/>
    <w:rsid w:val="2C2B7F37"/>
    <w:rsid w:val="2CAB7269"/>
    <w:rsid w:val="2CC04931"/>
    <w:rsid w:val="2D046477"/>
    <w:rsid w:val="2D2920F2"/>
    <w:rsid w:val="2D3672DB"/>
    <w:rsid w:val="2D597D89"/>
    <w:rsid w:val="2D966443"/>
    <w:rsid w:val="2E006E6F"/>
    <w:rsid w:val="2E202ACE"/>
    <w:rsid w:val="2F440310"/>
    <w:rsid w:val="2F486959"/>
    <w:rsid w:val="2F4C1F78"/>
    <w:rsid w:val="2F501741"/>
    <w:rsid w:val="2F9B613E"/>
    <w:rsid w:val="2FAD38A5"/>
    <w:rsid w:val="2FC16CF0"/>
    <w:rsid w:val="2FD630B8"/>
    <w:rsid w:val="2FE64AC9"/>
    <w:rsid w:val="2FF44784"/>
    <w:rsid w:val="302B70AF"/>
    <w:rsid w:val="302B7ACA"/>
    <w:rsid w:val="30492A04"/>
    <w:rsid w:val="308C0247"/>
    <w:rsid w:val="30AE243E"/>
    <w:rsid w:val="30E24E55"/>
    <w:rsid w:val="31385BDB"/>
    <w:rsid w:val="315B3201"/>
    <w:rsid w:val="31691423"/>
    <w:rsid w:val="317B7C45"/>
    <w:rsid w:val="31B46656"/>
    <w:rsid w:val="32070EA1"/>
    <w:rsid w:val="32277125"/>
    <w:rsid w:val="323852BE"/>
    <w:rsid w:val="325A0241"/>
    <w:rsid w:val="3287581E"/>
    <w:rsid w:val="32A409E9"/>
    <w:rsid w:val="32FB122A"/>
    <w:rsid w:val="331821FB"/>
    <w:rsid w:val="33BB44BF"/>
    <w:rsid w:val="3417711F"/>
    <w:rsid w:val="34575564"/>
    <w:rsid w:val="34877244"/>
    <w:rsid w:val="34B8269A"/>
    <w:rsid w:val="34C25FAC"/>
    <w:rsid w:val="34C624A1"/>
    <w:rsid w:val="34CD035E"/>
    <w:rsid w:val="350361C8"/>
    <w:rsid w:val="352065C1"/>
    <w:rsid w:val="352D77F8"/>
    <w:rsid w:val="35757CDC"/>
    <w:rsid w:val="357D5FAE"/>
    <w:rsid w:val="35DB7A81"/>
    <w:rsid w:val="360C3662"/>
    <w:rsid w:val="362F5EA6"/>
    <w:rsid w:val="369456B0"/>
    <w:rsid w:val="36C07CE7"/>
    <w:rsid w:val="36ED33AD"/>
    <w:rsid w:val="378C6A10"/>
    <w:rsid w:val="379F56DD"/>
    <w:rsid w:val="37E349E3"/>
    <w:rsid w:val="37EC0186"/>
    <w:rsid w:val="382C1529"/>
    <w:rsid w:val="3842625F"/>
    <w:rsid w:val="384A1732"/>
    <w:rsid w:val="38C205D6"/>
    <w:rsid w:val="38D5531E"/>
    <w:rsid w:val="39062ABA"/>
    <w:rsid w:val="394121DA"/>
    <w:rsid w:val="394F4230"/>
    <w:rsid w:val="398B2026"/>
    <w:rsid w:val="3996257A"/>
    <w:rsid w:val="39BB4DEE"/>
    <w:rsid w:val="39DE457B"/>
    <w:rsid w:val="39EE4A32"/>
    <w:rsid w:val="3A1A7739"/>
    <w:rsid w:val="3A8340B1"/>
    <w:rsid w:val="3AD77624"/>
    <w:rsid w:val="3AE910AE"/>
    <w:rsid w:val="3B49414E"/>
    <w:rsid w:val="3C0625DB"/>
    <w:rsid w:val="3C402417"/>
    <w:rsid w:val="3C7C03E2"/>
    <w:rsid w:val="3CB10A60"/>
    <w:rsid w:val="3D526192"/>
    <w:rsid w:val="3DA26545"/>
    <w:rsid w:val="3DA335C4"/>
    <w:rsid w:val="3DD36CA3"/>
    <w:rsid w:val="3DE07098"/>
    <w:rsid w:val="3E0C73BA"/>
    <w:rsid w:val="3E1D50EA"/>
    <w:rsid w:val="3E9C5581"/>
    <w:rsid w:val="3EA76BA7"/>
    <w:rsid w:val="3EB72999"/>
    <w:rsid w:val="3EE06FD5"/>
    <w:rsid w:val="3F984F35"/>
    <w:rsid w:val="3F9E0F6E"/>
    <w:rsid w:val="3FA076C7"/>
    <w:rsid w:val="3FA24065"/>
    <w:rsid w:val="3FA9527E"/>
    <w:rsid w:val="3FD91E8A"/>
    <w:rsid w:val="3FF75831"/>
    <w:rsid w:val="40807DA0"/>
    <w:rsid w:val="40D93B88"/>
    <w:rsid w:val="40D966F4"/>
    <w:rsid w:val="40DB5B05"/>
    <w:rsid w:val="40F14797"/>
    <w:rsid w:val="40F2596E"/>
    <w:rsid w:val="41021F52"/>
    <w:rsid w:val="410E55AE"/>
    <w:rsid w:val="41307444"/>
    <w:rsid w:val="41367C02"/>
    <w:rsid w:val="415102A5"/>
    <w:rsid w:val="41756A1C"/>
    <w:rsid w:val="41763D07"/>
    <w:rsid w:val="4179762D"/>
    <w:rsid w:val="41D23BA7"/>
    <w:rsid w:val="41EB4213"/>
    <w:rsid w:val="41EF2B1C"/>
    <w:rsid w:val="420F58F7"/>
    <w:rsid w:val="421B35C8"/>
    <w:rsid w:val="42254228"/>
    <w:rsid w:val="423E6792"/>
    <w:rsid w:val="424178FD"/>
    <w:rsid w:val="425C5BC5"/>
    <w:rsid w:val="425C7C9E"/>
    <w:rsid w:val="42605BF9"/>
    <w:rsid w:val="42922BCA"/>
    <w:rsid w:val="42AC630B"/>
    <w:rsid w:val="42AD7A9F"/>
    <w:rsid w:val="42E14FD1"/>
    <w:rsid w:val="42EF2732"/>
    <w:rsid w:val="43496890"/>
    <w:rsid w:val="43DA4BEA"/>
    <w:rsid w:val="43E817E2"/>
    <w:rsid w:val="44032396"/>
    <w:rsid w:val="4406352A"/>
    <w:rsid w:val="44135DEA"/>
    <w:rsid w:val="443A0D22"/>
    <w:rsid w:val="44436D99"/>
    <w:rsid w:val="444C092C"/>
    <w:rsid w:val="445636D6"/>
    <w:rsid w:val="448743EA"/>
    <w:rsid w:val="44F0774D"/>
    <w:rsid w:val="44FF1EF0"/>
    <w:rsid w:val="45613176"/>
    <w:rsid w:val="45807834"/>
    <w:rsid w:val="45A71137"/>
    <w:rsid w:val="45AD12F3"/>
    <w:rsid w:val="45C017DE"/>
    <w:rsid w:val="45F414A7"/>
    <w:rsid w:val="45FF2286"/>
    <w:rsid w:val="46577D5D"/>
    <w:rsid w:val="46797842"/>
    <w:rsid w:val="46A45EB6"/>
    <w:rsid w:val="46AE0FCA"/>
    <w:rsid w:val="474D7261"/>
    <w:rsid w:val="476B77AD"/>
    <w:rsid w:val="477303D1"/>
    <w:rsid w:val="478A7FB5"/>
    <w:rsid w:val="480D3639"/>
    <w:rsid w:val="488D0730"/>
    <w:rsid w:val="48A01DE5"/>
    <w:rsid w:val="48A066E7"/>
    <w:rsid w:val="48C36022"/>
    <w:rsid w:val="48FB2769"/>
    <w:rsid w:val="49726A25"/>
    <w:rsid w:val="49B75DAE"/>
    <w:rsid w:val="49C45793"/>
    <w:rsid w:val="49D6031F"/>
    <w:rsid w:val="49FB16A7"/>
    <w:rsid w:val="4A0A600D"/>
    <w:rsid w:val="4AB44536"/>
    <w:rsid w:val="4AB751BD"/>
    <w:rsid w:val="4AE87999"/>
    <w:rsid w:val="4AFB3581"/>
    <w:rsid w:val="4B1A1787"/>
    <w:rsid w:val="4B1C7DF5"/>
    <w:rsid w:val="4BA305E5"/>
    <w:rsid w:val="4BBA2863"/>
    <w:rsid w:val="4C250441"/>
    <w:rsid w:val="4C3C152F"/>
    <w:rsid w:val="4C6D30D1"/>
    <w:rsid w:val="4C925E85"/>
    <w:rsid w:val="4C990A6E"/>
    <w:rsid w:val="4C997805"/>
    <w:rsid w:val="4CCC6DFF"/>
    <w:rsid w:val="4D4C596A"/>
    <w:rsid w:val="4D912298"/>
    <w:rsid w:val="4DAB441D"/>
    <w:rsid w:val="4DE133F9"/>
    <w:rsid w:val="4E2639EB"/>
    <w:rsid w:val="4E741BDB"/>
    <w:rsid w:val="4F2026B7"/>
    <w:rsid w:val="4FA86681"/>
    <w:rsid w:val="4FB624CB"/>
    <w:rsid w:val="4FEE7213"/>
    <w:rsid w:val="50300B4B"/>
    <w:rsid w:val="5032736B"/>
    <w:rsid w:val="506D0DF2"/>
    <w:rsid w:val="509A1C15"/>
    <w:rsid w:val="50B16C90"/>
    <w:rsid w:val="50BA50E7"/>
    <w:rsid w:val="50C664D0"/>
    <w:rsid w:val="50DE1486"/>
    <w:rsid w:val="50FD66D0"/>
    <w:rsid w:val="5178318D"/>
    <w:rsid w:val="517B4842"/>
    <w:rsid w:val="51A52678"/>
    <w:rsid w:val="51B7277D"/>
    <w:rsid w:val="527674FF"/>
    <w:rsid w:val="52B812E9"/>
    <w:rsid w:val="52C4746D"/>
    <w:rsid w:val="531327A7"/>
    <w:rsid w:val="53A06809"/>
    <w:rsid w:val="53B87EAD"/>
    <w:rsid w:val="53D647E0"/>
    <w:rsid w:val="53E95073"/>
    <w:rsid w:val="53FF2846"/>
    <w:rsid w:val="544C0147"/>
    <w:rsid w:val="545726C3"/>
    <w:rsid w:val="54B96A9C"/>
    <w:rsid w:val="54FE25A2"/>
    <w:rsid w:val="552D465A"/>
    <w:rsid w:val="555275DD"/>
    <w:rsid w:val="55635117"/>
    <w:rsid w:val="5616597B"/>
    <w:rsid w:val="56550FAD"/>
    <w:rsid w:val="565D5828"/>
    <w:rsid w:val="566D43B0"/>
    <w:rsid w:val="569F642F"/>
    <w:rsid w:val="57803652"/>
    <w:rsid w:val="57E03AB4"/>
    <w:rsid w:val="57E0560E"/>
    <w:rsid w:val="57E20D07"/>
    <w:rsid w:val="583D1B5D"/>
    <w:rsid w:val="5845105C"/>
    <w:rsid w:val="58483BB1"/>
    <w:rsid w:val="585D2CB7"/>
    <w:rsid w:val="586C4C92"/>
    <w:rsid w:val="58866755"/>
    <w:rsid w:val="58874616"/>
    <w:rsid w:val="58A3714E"/>
    <w:rsid w:val="58C001A4"/>
    <w:rsid w:val="58E54987"/>
    <w:rsid w:val="590159E8"/>
    <w:rsid w:val="59391A5B"/>
    <w:rsid w:val="593E76A7"/>
    <w:rsid w:val="598D5DDE"/>
    <w:rsid w:val="59955C66"/>
    <w:rsid w:val="59E07DDC"/>
    <w:rsid w:val="5A0C3217"/>
    <w:rsid w:val="5A624884"/>
    <w:rsid w:val="5A8C15EE"/>
    <w:rsid w:val="5AD938A2"/>
    <w:rsid w:val="5B2C5969"/>
    <w:rsid w:val="5B49019D"/>
    <w:rsid w:val="5B702D48"/>
    <w:rsid w:val="5BA919C8"/>
    <w:rsid w:val="5BC37736"/>
    <w:rsid w:val="5C230876"/>
    <w:rsid w:val="5C2D387E"/>
    <w:rsid w:val="5C3960A8"/>
    <w:rsid w:val="5C7C6229"/>
    <w:rsid w:val="5CCE443C"/>
    <w:rsid w:val="5CD96145"/>
    <w:rsid w:val="5CE444F3"/>
    <w:rsid w:val="5D064713"/>
    <w:rsid w:val="5D064D08"/>
    <w:rsid w:val="5D9F3769"/>
    <w:rsid w:val="5DA65AA1"/>
    <w:rsid w:val="5E044300"/>
    <w:rsid w:val="5E1414D2"/>
    <w:rsid w:val="5E157A5D"/>
    <w:rsid w:val="5E174781"/>
    <w:rsid w:val="5E365354"/>
    <w:rsid w:val="5E376BB0"/>
    <w:rsid w:val="5E4E083A"/>
    <w:rsid w:val="5E8739EC"/>
    <w:rsid w:val="5E9E6DA6"/>
    <w:rsid w:val="5EA5446D"/>
    <w:rsid w:val="5ED50ACE"/>
    <w:rsid w:val="5F2935C8"/>
    <w:rsid w:val="5F301A5E"/>
    <w:rsid w:val="5F63477A"/>
    <w:rsid w:val="5F9054FB"/>
    <w:rsid w:val="5F9D2161"/>
    <w:rsid w:val="5FC86C18"/>
    <w:rsid w:val="5FCC5CFF"/>
    <w:rsid w:val="5FD342D0"/>
    <w:rsid w:val="5FF721FB"/>
    <w:rsid w:val="60D71E1C"/>
    <w:rsid w:val="6102293A"/>
    <w:rsid w:val="612462C3"/>
    <w:rsid w:val="619C5254"/>
    <w:rsid w:val="61F5251E"/>
    <w:rsid w:val="620A52B3"/>
    <w:rsid w:val="623205C0"/>
    <w:rsid w:val="62537AA6"/>
    <w:rsid w:val="62AC2E20"/>
    <w:rsid w:val="63135D57"/>
    <w:rsid w:val="633D15B2"/>
    <w:rsid w:val="634C6517"/>
    <w:rsid w:val="638F5DB1"/>
    <w:rsid w:val="63E80987"/>
    <w:rsid w:val="63EB0839"/>
    <w:rsid w:val="63FB11FC"/>
    <w:rsid w:val="644476F2"/>
    <w:rsid w:val="64674EB9"/>
    <w:rsid w:val="646A76A7"/>
    <w:rsid w:val="648A2F39"/>
    <w:rsid w:val="648A54F0"/>
    <w:rsid w:val="649001AD"/>
    <w:rsid w:val="649C42AF"/>
    <w:rsid w:val="64C7584D"/>
    <w:rsid w:val="64EE0DD9"/>
    <w:rsid w:val="64F37257"/>
    <w:rsid w:val="651E0CCC"/>
    <w:rsid w:val="652514CD"/>
    <w:rsid w:val="656376FD"/>
    <w:rsid w:val="659D2128"/>
    <w:rsid w:val="65EE0C6D"/>
    <w:rsid w:val="662560F6"/>
    <w:rsid w:val="667E03B7"/>
    <w:rsid w:val="66C2140C"/>
    <w:rsid w:val="66CD5829"/>
    <w:rsid w:val="66F61415"/>
    <w:rsid w:val="67253D0F"/>
    <w:rsid w:val="67276950"/>
    <w:rsid w:val="6741341B"/>
    <w:rsid w:val="674F08D1"/>
    <w:rsid w:val="67561415"/>
    <w:rsid w:val="676C1F7E"/>
    <w:rsid w:val="679131C4"/>
    <w:rsid w:val="679C23A1"/>
    <w:rsid w:val="68035F3E"/>
    <w:rsid w:val="681E0F09"/>
    <w:rsid w:val="685C1B42"/>
    <w:rsid w:val="688C1BCA"/>
    <w:rsid w:val="688E50E5"/>
    <w:rsid w:val="6892244C"/>
    <w:rsid w:val="68D501D0"/>
    <w:rsid w:val="68E60411"/>
    <w:rsid w:val="68FC633A"/>
    <w:rsid w:val="6939283F"/>
    <w:rsid w:val="6963449D"/>
    <w:rsid w:val="696C25E5"/>
    <w:rsid w:val="6999587D"/>
    <w:rsid w:val="69C87B91"/>
    <w:rsid w:val="69EB4DCE"/>
    <w:rsid w:val="69F87424"/>
    <w:rsid w:val="6A0B579D"/>
    <w:rsid w:val="6A480600"/>
    <w:rsid w:val="6A6C666D"/>
    <w:rsid w:val="6A943B6F"/>
    <w:rsid w:val="6B030D3D"/>
    <w:rsid w:val="6B5C7216"/>
    <w:rsid w:val="6C0E1659"/>
    <w:rsid w:val="6C594DD3"/>
    <w:rsid w:val="6C732C78"/>
    <w:rsid w:val="6C973674"/>
    <w:rsid w:val="6D064B23"/>
    <w:rsid w:val="6D113C78"/>
    <w:rsid w:val="6D264A37"/>
    <w:rsid w:val="6D335DED"/>
    <w:rsid w:val="6D3C0400"/>
    <w:rsid w:val="6D4E6EAD"/>
    <w:rsid w:val="6D522193"/>
    <w:rsid w:val="6D607657"/>
    <w:rsid w:val="6D86571F"/>
    <w:rsid w:val="6DA14E97"/>
    <w:rsid w:val="6DAC28AD"/>
    <w:rsid w:val="6DF85FD6"/>
    <w:rsid w:val="6E1512DD"/>
    <w:rsid w:val="6E21743F"/>
    <w:rsid w:val="6E334A58"/>
    <w:rsid w:val="6E555F9C"/>
    <w:rsid w:val="6EB94088"/>
    <w:rsid w:val="6F13197B"/>
    <w:rsid w:val="6F4C7794"/>
    <w:rsid w:val="6F4F6A54"/>
    <w:rsid w:val="6F770C8C"/>
    <w:rsid w:val="6F877309"/>
    <w:rsid w:val="6F9A440A"/>
    <w:rsid w:val="6FB174B8"/>
    <w:rsid w:val="6FCA79C0"/>
    <w:rsid w:val="7002132A"/>
    <w:rsid w:val="70091CDD"/>
    <w:rsid w:val="701533AA"/>
    <w:rsid w:val="701F119E"/>
    <w:rsid w:val="703B0D7B"/>
    <w:rsid w:val="704D5FE9"/>
    <w:rsid w:val="707F6831"/>
    <w:rsid w:val="70836C24"/>
    <w:rsid w:val="7092035F"/>
    <w:rsid w:val="70936D22"/>
    <w:rsid w:val="70B643C2"/>
    <w:rsid w:val="70CC3A7E"/>
    <w:rsid w:val="70FA05AA"/>
    <w:rsid w:val="71076026"/>
    <w:rsid w:val="711E64C7"/>
    <w:rsid w:val="7158750A"/>
    <w:rsid w:val="71796279"/>
    <w:rsid w:val="71A64748"/>
    <w:rsid w:val="71AF627B"/>
    <w:rsid w:val="71B14E46"/>
    <w:rsid w:val="71C10BBD"/>
    <w:rsid w:val="72076473"/>
    <w:rsid w:val="72663040"/>
    <w:rsid w:val="72861810"/>
    <w:rsid w:val="72CB185B"/>
    <w:rsid w:val="7375641B"/>
    <w:rsid w:val="737C027A"/>
    <w:rsid w:val="73BA6C12"/>
    <w:rsid w:val="741C16F8"/>
    <w:rsid w:val="74217D1D"/>
    <w:rsid w:val="743A4CB7"/>
    <w:rsid w:val="74716F24"/>
    <w:rsid w:val="749806F7"/>
    <w:rsid w:val="749D6413"/>
    <w:rsid w:val="74BF3730"/>
    <w:rsid w:val="74CF0DCA"/>
    <w:rsid w:val="75227281"/>
    <w:rsid w:val="755F10CB"/>
    <w:rsid w:val="75730D41"/>
    <w:rsid w:val="759A7A13"/>
    <w:rsid w:val="75A235D5"/>
    <w:rsid w:val="75A763C9"/>
    <w:rsid w:val="75AE2E69"/>
    <w:rsid w:val="75CE15B9"/>
    <w:rsid w:val="75EF0B26"/>
    <w:rsid w:val="76284E0F"/>
    <w:rsid w:val="762C336B"/>
    <w:rsid w:val="76776341"/>
    <w:rsid w:val="767E4823"/>
    <w:rsid w:val="767E719D"/>
    <w:rsid w:val="76826051"/>
    <w:rsid w:val="76853A2A"/>
    <w:rsid w:val="768E5817"/>
    <w:rsid w:val="76AE27E2"/>
    <w:rsid w:val="773C68BC"/>
    <w:rsid w:val="77417200"/>
    <w:rsid w:val="776255E6"/>
    <w:rsid w:val="77644601"/>
    <w:rsid w:val="779B7731"/>
    <w:rsid w:val="77CF364F"/>
    <w:rsid w:val="77F315D6"/>
    <w:rsid w:val="77FA7DFE"/>
    <w:rsid w:val="78000E18"/>
    <w:rsid w:val="780C1E50"/>
    <w:rsid w:val="78AC4771"/>
    <w:rsid w:val="78B817F2"/>
    <w:rsid w:val="78ED4242"/>
    <w:rsid w:val="79255ED5"/>
    <w:rsid w:val="792B6FC8"/>
    <w:rsid w:val="796028A9"/>
    <w:rsid w:val="796A0D01"/>
    <w:rsid w:val="79836FE4"/>
    <w:rsid w:val="79C44BB7"/>
    <w:rsid w:val="79CB3F29"/>
    <w:rsid w:val="79F570AF"/>
    <w:rsid w:val="7A6277B6"/>
    <w:rsid w:val="7A65488A"/>
    <w:rsid w:val="7A667282"/>
    <w:rsid w:val="7B68259C"/>
    <w:rsid w:val="7B7C70F6"/>
    <w:rsid w:val="7BE65D5B"/>
    <w:rsid w:val="7BEF67F7"/>
    <w:rsid w:val="7C3443EF"/>
    <w:rsid w:val="7CB030A3"/>
    <w:rsid w:val="7CF32F43"/>
    <w:rsid w:val="7CF71418"/>
    <w:rsid w:val="7CF77BC0"/>
    <w:rsid w:val="7D015FF7"/>
    <w:rsid w:val="7D123058"/>
    <w:rsid w:val="7D211BCA"/>
    <w:rsid w:val="7D62729E"/>
    <w:rsid w:val="7D6479A4"/>
    <w:rsid w:val="7D6E425B"/>
    <w:rsid w:val="7E185B59"/>
    <w:rsid w:val="7E316F66"/>
    <w:rsid w:val="7E543470"/>
    <w:rsid w:val="7E5449E6"/>
    <w:rsid w:val="7E65429A"/>
    <w:rsid w:val="7E7B36E3"/>
    <w:rsid w:val="7EEB6CC2"/>
    <w:rsid w:val="7F0938CF"/>
    <w:rsid w:val="7F7A15A2"/>
    <w:rsid w:val="7F7C5B1D"/>
    <w:rsid w:val="7FC015C3"/>
    <w:rsid w:val="7FDD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60"/>
    <w:qFormat/>
    <w:uiPriority w:val="0"/>
    <w:pPr>
      <w:keepNext/>
      <w:keepLines/>
      <w:spacing w:before="260" w:after="260" w:line="416" w:lineRule="auto"/>
      <w:outlineLvl w:val="2"/>
    </w:pPr>
    <w:rPr>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64"/>
    <w:qFormat/>
    <w:uiPriority w:val="9"/>
    <w:pPr>
      <w:keepNext/>
      <w:keepLines/>
      <w:spacing w:before="280" w:after="290" w:line="376" w:lineRule="auto"/>
      <w:outlineLvl w:val="4"/>
    </w:pPr>
    <w:rPr>
      <w:b/>
      <w:bCs/>
      <w:sz w:val="28"/>
      <w:szCs w:val="28"/>
    </w:rPr>
  </w:style>
  <w:style w:type="paragraph" w:styleId="8">
    <w:name w:val="heading 6"/>
    <w:basedOn w:val="1"/>
    <w:next w:val="1"/>
    <w:link w:val="65"/>
    <w:qFormat/>
    <w:uiPriority w:val="9"/>
    <w:pPr>
      <w:keepNext/>
      <w:keepLines/>
      <w:spacing w:before="240" w:after="64" w:line="320" w:lineRule="auto"/>
      <w:outlineLvl w:val="5"/>
    </w:pPr>
    <w:rPr>
      <w:rFonts w:ascii="Cambria" w:hAnsi="Cambria"/>
      <w:b/>
      <w:bCs/>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styleId="9">
    <w:name w:val="toc 7"/>
    <w:basedOn w:val="1"/>
    <w:next w:val="1"/>
    <w:qFormat/>
    <w:uiPriority w:val="39"/>
    <w:pPr>
      <w:ind w:left="1260"/>
      <w:jc w:val="left"/>
    </w:pPr>
    <w:rPr>
      <w:rFonts w:ascii="Calibri" w:hAnsi="Calibri" w:cs="Calibri"/>
      <w:sz w:val="18"/>
      <w:szCs w:val="18"/>
    </w:rPr>
  </w:style>
  <w:style w:type="paragraph" w:styleId="10">
    <w:name w:val="List Number 2"/>
    <w:basedOn w:val="1"/>
    <w:qFormat/>
    <w:uiPriority w:val="0"/>
    <w:pPr>
      <w:tabs>
        <w:tab w:val="left" w:pos="780"/>
      </w:tabs>
      <w:ind w:left="780" w:hanging="360"/>
    </w:pPr>
    <w:rPr>
      <w:szCs w:val="20"/>
    </w:rPr>
  </w:style>
  <w:style w:type="paragraph" w:styleId="11">
    <w:name w:val="Normal Indent"/>
    <w:basedOn w:val="1"/>
    <w:link w:val="66"/>
    <w:qFormat/>
    <w:uiPriority w:val="0"/>
    <w:pPr>
      <w:autoSpaceDE w:val="0"/>
      <w:autoSpaceDN w:val="0"/>
      <w:adjustRightInd w:val="0"/>
      <w:ind w:firstLine="420"/>
      <w:jc w:val="left"/>
    </w:pPr>
    <w:rPr>
      <w:rFonts w:ascii="宋体"/>
      <w:kern w:val="0"/>
      <w:sz w:val="24"/>
      <w:szCs w:val="20"/>
    </w:rPr>
  </w:style>
  <w:style w:type="paragraph" w:styleId="12">
    <w:name w:val="caption"/>
    <w:basedOn w:val="1"/>
    <w:next w:val="1"/>
    <w:qFormat/>
    <w:uiPriority w:val="0"/>
    <w:pPr>
      <w:spacing w:line="480" w:lineRule="auto"/>
    </w:pPr>
    <w:rPr>
      <w:rFonts w:ascii="华文中宋" w:hAnsi="华文中宋" w:eastAsia="华文中宋"/>
      <w:sz w:val="36"/>
      <w:szCs w:val="20"/>
    </w:rPr>
  </w:style>
  <w:style w:type="paragraph" w:styleId="13">
    <w:name w:val="index 5"/>
    <w:basedOn w:val="1"/>
    <w:next w:val="1"/>
    <w:qFormat/>
    <w:uiPriority w:val="0"/>
    <w:pPr>
      <w:adjustRightInd w:val="0"/>
      <w:snapToGrid w:val="0"/>
      <w:spacing w:line="360" w:lineRule="auto"/>
      <w:jc w:val="center"/>
    </w:pPr>
    <w:rPr>
      <w:rFonts w:ascii="宋体" w:hAnsi="宋体" w:cs="宋体"/>
      <w:bCs/>
      <w:szCs w:val="21"/>
    </w:rPr>
  </w:style>
  <w:style w:type="paragraph" w:styleId="14">
    <w:name w:val="Document Map"/>
    <w:basedOn w:val="1"/>
    <w:link w:val="67"/>
    <w:unhideWhenUsed/>
    <w:qFormat/>
    <w:uiPriority w:val="0"/>
    <w:rPr>
      <w:rFonts w:ascii="宋体"/>
      <w:sz w:val="18"/>
      <w:szCs w:val="18"/>
    </w:rPr>
  </w:style>
  <w:style w:type="paragraph" w:styleId="15">
    <w:name w:val="annotation text"/>
    <w:basedOn w:val="1"/>
    <w:link w:val="68"/>
    <w:semiHidden/>
    <w:qFormat/>
    <w:uiPriority w:val="99"/>
    <w:pPr>
      <w:jc w:val="left"/>
    </w:pPr>
  </w:style>
  <w:style w:type="paragraph" w:styleId="16">
    <w:name w:val="Body Text"/>
    <w:basedOn w:val="1"/>
    <w:link w:val="69"/>
    <w:qFormat/>
    <w:uiPriority w:val="0"/>
    <w:pPr>
      <w:spacing w:after="120"/>
    </w:pPr>
  </w:style>
  <w:style w:type="paragraph" w:styleId="17">
    <w:name w:val="Body Text Indent"/>
    <w:basedOn w:val="1"/>
    <w:link w:val="70"/>
    <w:qFormat/>
    <w:uiPriority w:val="0"/>
    <w:pPr>
      <w:spacing w:line="360" w:lineRule="auto"/>
      <w:ind w:firstLine="420" w:firstLineChars="200"/>
    </w:pPr>
    <w:rPr>
      <w:bCs/>
      <w:szCs w:val="30"/>
    </w:rPr>
  </w:style>
  <w:style w:type="paragraph" w:styleId="18">
    <w:name w:val="List 2"/>
    <w:basedOn w:val="1"/>
    <w:qFormat/>
    <w:uiPriority w:val="0"/>
    <w:pPr>
      <w:adjustRightInd w:val="0"/>
      <w:spacing w:line="360" w:lineRule="atLeast"/>
      <w:ind w:left="100" w:leftChars="200" w:hanging="200" w:hangingChars="200"/>
      <w:jc w:val="left"/>
      <w:textAlignment w:val="baseline"/>
    </w:pPr>
    <w:rPr>
      <w:kern w:val="0"/>
      <w:sz w:val="24"/>
      <w:szCs w:val="20"/>
    </w:rPr>
  </w:style>
  <w:style w:type="paragraph" w:styleId="19">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0">
    <w:name w:val="toc 5"/>
    <w:basedOn w:val="1"/>
    <w:next w:val="1"/>
    <w:qFormat/>
    <w:uiPriority w:val="39"/>
    <w:pPr>
      <w:ind w:left="840"/>
      <w:jc w:val="left"/>
    </w:pPr>
    <w:rPr>
      <w:rFonts w:ascii="Calibri" w:hAnsi="Calibri" w:cs="Calibri"/>
      <w:sz w:val="18"/>
      <w:szCs w:val="18"/>
    </w:rPr>
  </w:style>
  <w:style w:type="paragraph" w:styleId="21">
    <w:name w:val="toc 3"/>
    <w:basedOn w:val="1"/>
    <w:next w:val="1"/>
    <w:qFormat/>
    <w:uiPriority w:val="39"/>
    <w:pPr>
      <w:ind w:left="420"/>
      <w:jc w:val="left"/>
    </w:pPr>
    <w:rPr>
      <w:rFonts w:ascii="Calibri" w:hAnsi="Calibri" w:cs="Calibri"/>
      <w:i/>
      <w:iCs/>
      <w:sz w:val="20"/>
      <w:szCs w:val="20"/>
    </w:rPr>
  </w:style>
  <w:style w:type="paragraph" w:styleId="22">
    <w:name w:val="Plain Text"/>
    <w:basedOn w:val="1"/>
    <w:next w:val="1"/>
    <w:link w:val="71"/>
    <w:qFormat/>
    <w:uiPriority w:val="0"/>
    <w:rPr>
      <w:rFonts w:ascii="宋体" w:hAnsi="Courier New"/>
      <w:szCs w:val="20"/>
    </w:rPr>
  </w:style>
  <w:style w:type="paragraph" w:styleId="23">
    <w:name w:val="toc 8"/>
    <w:basedOn w:val="1"/>
    <w:next w:val="1"/>
    <w:qFormat/>
    <w:uiPriority w:val="39"/>
    <w:pPr>
      <w:ind w:left="1470"/>
      <w:jc w:val="left"/>
    </w:pPr>
    <w:rPr>
      <w:rFonts w:ascii="Calibri" w:hAnsi="Calibri" w:cs="Calibri"/>
      <w:sz w:val="18"/>
      <w:szCs w:val="18"/>
    </w:rPr>
  </w:style>
  <w:style w:type="paragraph" w:styleId="24">
    <w:name w:val="Date"/>
    <w:basedOn w:val="1"/>
    <w:next w:val="1"/>
    <w:link w:val="72"/>
    <w:qFormat/>
    <w:uiPriority w:val="0"/>
    <w:pPr>
      <w:ind w:left="100" w:leftChars="2500"/>
    </w:p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73"/>
    <w:semiHidden/>
    <w:qFormat/>
    <w:uiPriority w:val="0"/>
    <w:rPr>
      <w:sz w:val="18"/>
      <w:szCs w:val="18"/>
    </w:rPr>
  </w:style>
  <w:style w:type="paragraph" w:styleId="27">
    <w:name w:val="footer"/>
    <w:basedOn w:val="1"/>
    <w:link w:val="74"/>
    <w:qFormat/>
    <w:uiPriority w:val="99"/>
    <w:pPr>
      <w:tabs>
        <w:tab w:val="center" w:pos="4153"/>
        <w:tab w:val="right" w:pos="8306"/>
      </w:tabs>
      <w:snapToGrid w:val="0"/>
      <w:jc w:val="left"/>
    </w:pPr>
    <w:rPr>
      <w:sz w:val="18"/>
      <w:szCs w:val="18"/>
    </w:rPr>
  </w:style>
  <w:style w:type="paragraph" w:styleId="28">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8296"/>
      </w:tabs>
      <w:spacing w:before="120" w:after="120"/>
      <w:jc w:val="left"/>
    </w:pPr>
    <w:rPr>
      <w:rFonts w:ascii="Calibri" w:hAnsi="Calibri" w:cs="Calibri"/>
      <w:b/>
      <w:bCs/>
      <w:caps/>
      <w:sz w:val="20"/>
      <w:szCs w:val="20"/>
    </w:rPr>
  </w:style>
  <w:style w:type="paragraph" w:styleId="30">
    <w:name w:val="toc 4"/>
    <w:basedOn w:val="1"/>
    <w:next w:val="1"/>
    <w:qFormat/>
    <w:uiPriority w:val="39"/>
    <w:pPr>
      <w:ind w:left="630"/>
      <w:jc w:val="left"/>
    </w:pPr>
    <w:rPr>
      <w:rFonts w:ascii="Calibri" w:hAnsi="Calibri" w:cs="Calibri"/>
      <w:sz w:val="18"/>
      <w:szCs w:val="18"/>
    </w:rPr>
  </w:style>
  <w:style w:type="paragraph" w:styleId="31">
    <w:name w:val="Subtitle"/>
    <w:basedOn w:val="1"/>
    <w:link w:val="76"/>
    <w:qFormat/>
    <w:uiPriority w:val="0"/>
    <w:pPr>
      <w:spacing w:before="240" w:after="60" w:line="312" w:lineRule="auto"/>
      <w:ind w:firstLine="200" w:firstLineChars="200"/>
      <w:jc w:val="center"/>
      <w:outlineLvl w:val="1"/>
    </w:pPr>
    <w:rPr>
      <w:rFonts w:ascii="Arial" w:hAnsi="Arial"/>
      <w:b/>
      <w:bCs/>
      <w:kern w:val="28"/>
      <w:sz w:val="32"/>
      <w:szCs w:val="32"/>
      <w:lang w:eastAsia="zh-TW"/>
    </w:rPr>
  </w:style>
  <w:style w:type="paragraph" w:styleId="32">
    <w:name w:val="toc 6"/>
    <w:basedOn w:val="1"/>
    <w:next w:val="1"/>
    <w:qFormat/>
    <w:uiPriority w:val="39"/>
    <w:pPr>
      <w:ind w:left="1050"/>
      <w:jc w:val="left"/>
    </w:pPr>
    <w:rPr>
      <w:rFonts w:ascii="Calibri" w:hAnsi="Calibri" w:cs="Calibri"/>
      <w:sz w:val="18"/>
      <w:szCs w:val="18"/>
    </w:rPr>
  </w:style>
  <w:style w:type="paragraph" w:styleId="33">
    <w:name w:val="Body Text Indent 3"/>
    <w:basedOn w:val="1"/>
    <w:next w:val="16"/>
    <w:link w:val="77"/>
    <w:qFormat/>
    <w:uiPriority w:val="0"/>
    <w:pPr>
      <w:spacing w:after="120"/>
      <w:ind w:left="420" w:leftChars="200"/>
    </w:pPr>
    <w:rPr>
      <w:sz w:val="16"/>
      <w:szCs w:val="16"/>
    </w:rPr>
  </w:style>
  <w:style w:type="paragraph" w:styleId="34">
    <w:name w:val="toc 2"/>
    <w:basedOn w:val="1"/>
    <w:next w:val="1"/>
    <w:qFormat/>
    <w:uiPriority w:val="39"/>
    <w:pPr>
      <w:ind w:left="210"/>
      <w:jc w:val="left"/>
    </w:pPr>
    <w:rPr>
      <w:rFonts w:ascii="Calibri" w:hAnsi="Calibri" w:cs="Calibri"/>
      <w:smallCaps/>
      <w:sz w:val="20"/>
      <w:szCs w:val="20"/>
    </w:rPr>
  </w:style>
  <w:style w:type="paragraph" w:styleId="35">
    <w:name w:val="toc 9"/>
    <w:basedOn w:val="1"/>
    <w:next w:val="1"/>
    <w:qFormat/>
    <w:uiPriority w:val="39"/>
    <w:pPr>
      <w:ind w:left="1680"/>
      <w:jc w:val="left"/>
    </w:pPr>
    <w:rPr>
      <w:rFonts w:ascii="Calibri" w:hAnsi="Calibri" w:cs="Calibri"/>
      <w:sz w:val="18"/>
      <w:szCs w:val="18"/>
    </w:rPr>
  </w:style>
  <w:style w:type="paragraph" w:styleId="36">
    <w:name w:val="Body Text 2"/>
    <w:basedOn w:val="1"/>
    <w:qFormat/>
    <w:uiPriority w:val="0"/>
    <w:pPr>
      <w:spacing w:after="120" w:line="480" w:lineRule="auto"/>
    </w:pPr>
  </w:style>
  <w:style w:type="paragraph" w:styleId="37">
    <w:name w:val="Normal (Web)"/>
    <w:basedOn w:val="1"/>
    <w:qFormat/>
    <w:uiPriority w:val="0"/>
    <w:pPr>
      <w:widowControl/>
      <w:spacing w:before="100" w:beforeAutospacing="1" w:after="100" w:afterAutospacing="1"/>
      <w:jc w:val="left"/>
    </w:pPr>
    <w:rPr>
      <w:rFonts w:ascii="宋体" w:hAnsi="宋体"/>
      <w:kern w:val="0"/>
      <w:sz w:val="24"/>
    </w:rPr>
  </w:style>
  <w:style w:type="paragraph" w:styleId="38">
    <w:name w:val="index 1"/>
    <w:basedOn w:val="1"/>
    <w:next w:val="1"/>
    <w:qFormat/>
    <w:uiPriority w:val="0"/>
    <w:pPr>
      <w:spacing w:line="360" w:lineRule="auto"/>
    </w:pPr>
    <w:rPr>
      <w:rFonts w:ascii="仿宋_GB2312" w:eastAsia="仿宋_GB2312"/>
      <w:sz w:val="24"/>
      <w:szCs w:val="20"/>
    </w:rPr>
  </w:style>
  <w:style w:type="paragraph" w:styleId="39">
    <w:name w:val="Title"/>
    <w:basedOn w:val="1"/>
    <w:next w:val="1"/>
    <w:link w:val="78"/>
    <w:qFormat/>
    <w:uiPriority w:val="0"/>
    <w:pPr>
      <w:spacing w:before="240" w:after="60"/>
      <w:jc w:val="center"/>
      <w:outlineLvl w:val="0"/>
    </w:pPr>
    <w:rPr>
      <w:rFonts w:ascii="Cambria" w:hAnsi="Cambria"/>
      <w:b/>
      <w:bCs/>
      <w:sz w:val="32"/>
      <w:szCs w:val="32"/>
    </w:rPr>
  </w:style>
  <w:style w:type="paragraph" w:styleId="40">
    <w:name w:val="annotation subject"/>
    <w:basedOn w:val="15"/>
    <w:next w:val="15"/>
    <w:link w:val="79"/>
    <w:semiHidden/>
    <w:qFormat/>
    <w:uiPriority w:val="0"/>
    <w:rPr>
      <w:b/>
      <w:bCs/>
    </w:rPr>
  </w:style>
  <w:style w:type="paragraph" w:styleId="41">
    <w:name w:val="Body Text First Indent"/>
    <w:basedOn w:val="16"/>
    <w:link w:val="80"/>
    <w:qFormat/>
    <w:uiPriority w:val="0"/>
    <w:pPr>
      <w:spacing w:line="360" w:lineRule="auto"/>
      <w:ind w:firstLine="420" w:firstLineChars="100"/>
      <w:jc w:val="left"/>
    </w:pPr>
    <w:rPr>
      <w:lang w:eastAsia="zh-TW"/>
    </w:rPr>
  </w:style>
  <w:style w:type="paragraph" w:styleId="42">
    <w:name w:val="Body Text First Indent 2"/>
    <w:basedOn w:val="1"/>
    <w:next w:val="1"/>
    <w:unhideWhenUsed/>
    <w:qFormat/>
    <w:uiPriority w:val="99"/>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99"/>
    <w:rPr>
      <w:rFonts w:hint="eastAsia" w:ascii="微软雅黑" w:hAnsi="微软雅黑" w:eastAsia="微软雅黑" w:cs="微软雅黑"/>
      <w:color w:val="02396F"/>
      <w:u w:val="single"/>
    </w:rPr>
  </w:style>
  <w:style w:type="character" w:styleId="49">
    <w:name w:val="Emphasis"/>
    <w:basedOn w:val="45"/>
    <w:qFormat/>
    <w:uiPriority w:val="0"/>
    <w:rPr>
      <w:b/>
      <w:bCs/>
    </w:rPr>
  </w:style>
  <w:style w:type="character" w:styleId="50">
    <w:name w:val="HTML Definition"/>
    <w:basedOn w:val="45"/>
    <w:qFormat/>
    <w:uiPriority w:val="0"/>
  </w:style>
  <w:style w:type="character" w:styleId="51">
    <w:name w:val="HTML Typewriter"/>
    <w:basedOn w:val="45"/>
    <w:qFormat/>
    <w:uiPriority w:val="0"/>
    <w:rPr>
      <w:rFonts w:hint="default" w:ascii="monospace" w:hAnsi="monospace" w:eastAsia="monospace" w:cs="monospace"/>
      <w:sz w:val="20"/>
    </w:rPr>
  </w:style>
  <w:style w:type="character" w:styleId="52">
    <w:name w:val="HTML Acronym"/>
    <w:basedOn w:val="45"/>
    <w:qFormat/>
    <w:uiPriority w:val="0"/>
  </w:style>
  <w:style w:type="character" w:styleId="53">
    <w:name w:val="HTML Variable"/>
    <w:basedOn w:val="45"/>
    <w:qFormat/>
    <w:uiPriority w:val="0"/>
  </w:style>
  <w:style w:type="character" w:styleId="54">
    <w:name w:val="Hyperlink"/>
    <w:qFormat/>
    <w:uiPriority w:val="99"/>
    <w:rPr>
      <w:rFonts w:ascii="微软雅黑" w:hAnsi="微软雅黑" w:eastAsia="微软雅黑" w:cs="微软雅黑"/>
      <w:color w:val="02396F"/>
      <w:u w:val="single"/>
    </w:rPr>
  </w:style>
  <w:style w:type="character" w:styleId="55">
    <w:name w:val="HTML Code"/>
    <w:basedOn w:val="45"/>
    <w:qFormat/>
    <w:uiPriority w:val="0"/>
    <w:rPr>
      <w:rFonts w:ascii="monospace" w:hAnsi="monospace" w:eastAsia="monospace" w:cs="monospace"/>
      <w:sz w:val="20"/>
    </w:rPr>
  </w:style>
  <w:style w:type="character" w:styleId="56">
    <w:name w:val="annotation reference"/>
    <w:semiHidden/>
    <w:qFormat/>
    <w:uiPriority w:val="99"/>
    <w:rPr>
      <w:sz w:val="21"/>
      <w:szCs w:val="21"/>
    </w:rPr>
  </w:style>
  <w:style w:type="character" w:styleId="57">
    <w:name w:val="HTML Cite"/>
    <w:basedOn w:val="45"/>
    <w:qFormat/>
    <w:uiPriority w:val="0"/>
  </w:style>
  <w:style w:type="character" w:styleId="58">
    <w:name w:val="HTML Keyboard"/>
    <w:basedOn w:val="45"/>
    <w:qFormat/>
    <w:uiPriority w:val="0"/>
    <w:rPr>
      <w:rFonts w:hint="default" w:ascii="monospace" w:hAnsi="monospace" w:eastAsia="monospace" w:cs="monospace"/>
      <w:sz w:val="20"/>
    </w:rPr>
  </w:style>
  <w:style w:type="character" w:styleId="59">
    <w:name w:val="HTML Sample"/>
    <w:basedOn w:val="45"/>
    <w:qFormat/>
    <w:uiPriority w:val="0"/>
    <w:rPr>
      <w:rFonts w:hint="default" w:ascii="monospace" w:hAnsi="monospace" w:eastAsia="monospace" w:cs="monospace"/>
    </w:rPr>
  </w:style>
  <w:style w:type="character" w:customStyle="1" w:styleId="60">
    <w:name w:val="标题 3 Char"/>
    <w:link w:val="5"/>
    <w:qFormat/>
    <w:uiPriority w:val="0"/>
    <w:rPr>
      <w:b/>
      <w:bCs/>
      <w:kern w:val="2"/>
      <w:sz w:val="32"/>
      <w:szCs w:val="32"/>
    </w:rPr>
  </w:style>
  <w:style w:type="character" w:customStyle="1" w:styleId="61">
    <w:name w:val="标题 1 Char"/>
    <w:link w:val="3"/>
    <w:qFormat/>
    <w:uiPriority w:val="0"/>
    <w:rPr>
      <w:b/>
      <w:bCs/>
      <w:kern w:val="44"/>
      <w:sz w:val="44"/>
      <w:szCs w:val="44"/>
    </w:rPr>
  </w:style>
  <w:style w:type="character" w:customStyle="1" w:styleId="62">
    <w:name w:val="标题 2 Char"/>
    <w:link w:val="4"/>
    <w:qFormat/>
    <w:uiPriority w:val="0"/>
    <w:rPr>
      <w:rFonts w:ascii="Arial" w:hAnsi="Arial" w:eastAsia="黑体"/>
      <w:b/>
      <w:sz w:val="30"/>
    </w:rPr>
  </w:style>
  <w:style w:type="character" w:customStyle="1" w:styleId="63">
    <w:name w:val="标题 4 Char"/>
    <w:link w:val="6"/>
    <w:qFormat/>
    <w:uiPriority w:val="0"/>
    <w:rPr>
      <w:rFonts w:ascii="Cambria" w:hAnsi="Cambria"/>
      <w:b/>
      <w:bCs/>
      <w:kern w:val="2"/>
      <w:sz w:val="28"/>
      <w:szCs w:val="28"/>
    </w:rPr>
  </w:style>
  <w:style w:type="character" w:customStyle="1" w:styleId="64">
    <w:name w:val="标题 5 Char"/>
    <w:link w:val="7"/>
    <w:qFormat/>
    <w:uiPriority w:val="9"/>
    <w:rPr>
      <w:b/>
      <w:bCs/>
      <w:kern w:val="2"/>
      <w:sz w:val="28"/>
      <w:szCs w:val="28"/>
    </w:rPr>
  </w:style>
  <w:style w:type="character" w:customStyle="1" w:styleId="65">
    <w:name w:val="标题 6 Char"/>
    <w:link w:val="8"/>
    <w:qFormat/>
    <w:uiPriority w:val="9"/>
    <w:rPr>
      <w:rFonts w:ascii="Cambria" w:hAnsi="Cambria"/>
      <w:b/>
      <w:bCs/>
      <w:kern w:val="2"/>
      <w:sz w:val="24"/>
      <w:szCs w:val="24"/>
    </w:rPr>
  </w:style>
  <w:style w:type="character" w:customStyle="1" w:styleId="66">
    <w:name w:val="正文缩进 Char"/>
    <w:link w:val="11"/>
    <w:qFormat/>
    <w:uiPriority w:val="0"/>
    <w:rPr>
      <w:rFonts w:ascii="宋体"/>
      <w:sz w:val="24"/>
    </w:rPr>
  </w:style>
  <w:style w:type="character" w:customStyle="1" w:styleId="67">
    <w:name w:val="文档结构图 Char"/>
    <w:link w:val="14"/>
    <w:qFormat/>
    <w:uiPriority w:val="0"/>
    <w:rPr>
      <w:rFonts w:ascii="宋体"/>
      <w:kern w:val="2"/>
      <w:sz w:val="18"/>
      <w:szCs w:val="18"/>
    </w:rPr>
  </w:style>
  <w:style w:type="character" w:customStyle="1" w:styleId="68">
    <w:name w:val="批注文字 Char"/>
    <w:link w:val="15"/>
    <w:semiHidden/>
    <w:qFormat/>
    <w:uiPriority w:val="99"/>
    <w:rPr>
      <w:kern w:val="2"/>
      <w:sz w:val="21"/>
      <w:szCs w:val="24"/>
    </w:rPr>
  </w:style>
  <w:style w:type="character" w:customStyle="1" w:styleId="69">
    <w:name w:val="正文文本 Char"/>
    <w:link w:val="16"/>
    <w:qFormat/>
    <w:uiPriority w:val="0"/>
    <w:rPr>
      <w:kern w:val="2"/>
      <w:sz w:val="21"/>
      <w:szCs w:val="24"/>
    </w:rPr>
  </w:style>
  <w:style w:type="character" w:customStyle="1" w:styleId="70">
    <w:name w:val="正文文本缩进 Char"/>
    <w:link w:val="17"/>
    <w:qFormat/>
    <w:uiPriority w:val="0"/>
    <w:rPr>
      <w:bCs/>
      <w:kern w:val="2"/>
      <w:sz w:val="21"/>
      <w:szCs w:val="30"/>
    </w:rPr>
  </w:style>
  <w:style w:type="character" w:customStyle="1" w:styleId="71">
    <w:name w:val="纯文本 Char2"/>
    <w:link w:val="22"/>
    <w:qFormat/>
    <w:uiPriority w:val="0"/>
    <w:rPr>
      <w:rFonts w:ascii="宋体" w:hAnsi="Courier New" w:eastAsia="宋体"/>
      <w:kern w:val="2"/>
      <w:sz w:val="21"/>
      <w:lang w:val="en-US" w:eastAsia="zh-CN" w:bidi="ar-SA"/>
    </w:rPr>
  </w:style>
  <w:style w:type="character" w:customStyle="1" w:styleId="72">
    <w:name w:val="日期 Char"/>
    <w:link w:val="24"/>
    <w:qFormat/>
    <w:uiPriority w:val="0"/>
    <w:rPr>
      <w:kern w:val="2"/>
      <w:sz w:val="21"/>
      <w:szCs w:val="24"/>
    </w:rPr>
  </w:style>
  <w:style w:type="character" w:customStyle="1" w:styleId="73">
    <w:name w:val="批注框文本 Char"/>
    <w:link w:val="26"/>
    <w:semiHidden/>
    <w:qFormat/>
    <w:uiPriority w:val="0"/>
    <w:rPr>
      <w:kern w:val="2"/>
      <w:sz w:val="18"/>
      <w:szCs w:val="18"/>
    </w:rPr>
  </w:style>
  <w:style w:type="character" w:customStyle="1" w:styleId="74">
    <w:name w:val="页脚 Char"/>
    <w:link w:val="27"/>
    <w:qFormat/>
    <w:uiPriority w:val="99"/>
    <w:rPr>
      <w:kern w:val="2"/>
      <w:sz w:val="18"/>
      <w:szCs w:val="18"/>
    </w:rPr>
  </w:style>
  <w:style w:type="character" w:customStyle="1" w:styleId="75">
    <w:name w:val="页眉 Char"/>
    <w:link w:val="28"/>
    <w:qFormat/>
    <w:uiPriority w:val="99"/>
    <w:rPr>
      <w:kern w:val="2"/>
      <w:sz w:val="18"/>
      <w:szCs w:val="18"/>
    </w:rPr>
  </w:style>
  <w:style w:type="character" w:customStyle="1" w:styleId="76">
    <w:name w:val="副标题 Char"/>
    <w:link w:val="31"/>
    <w:qFormat/>
    <w:uiPriority w:val="0"/>
    <w:rPr>
      <w:rFonts w:ascii="Arial" w:hAnsi="Arial"/>
      <w:b/>
      <w:bCs/>
      <w:kern w:val="28"/>
      <w:sz w:val="32"/>
      <w:szCs w:val="32"/>
      <w:lang w:eastAsia="zh-TW"/>
    </w:rPr>
  </w:style>
  <w:style w:type="character" w:customStyle="1" w:styleId="77">
    <w:name w:val="正文文本缩进 3 Char"/>
    <w:link w:val="33"/>
    <w:qFormat/>
    <w:uiPriority w:val="0"/>
    <w:rPr>
      <w:kern w:val="2"/>
      <w:sz w:val="16"/>
      <w:szCs w:val="16"/>
    </w:rPr>
  </w:style>
  <w:style w:type="character" w:customStyle="1" w:styleId="78">
    <w:name w:val="标题 Char"/>
    <w:link w:val="39"/>
    <w:qFormat/>
    <w:uiPriority w:val="0"/>
    <w:rPr>
      <w:rFonts w:ascii="Cambria" w:hAnsi="Cambria" w:cs="Times New Roman"/>
      <w:b/>
      <w:bCs/>
      <w:kern w:val="2"/>
      <w:sz w:val="32"/>
      <w:szCs w:val="32"/>
    </w:rPr>
  </w:style>
  <w:style w:type="character" w:customStyle="1" w:styleId="79">
    <w:name w:val="批注主题 Char"/>
    <w:link w:val="40"/>
    <w:semiHidden/>
    <w:qFormat/>
    <w:uiPriority w:val="0"/>
    <w:rPr>
      <w:b/>
      <w:bCs/>
      <w:kern w:val="2"/>
      <w:sz w:val="21"/>
      <w:szCs w:val="24"/>
    </w:rPr>
  </w:style>
  <w:style w:type="character" w:customStyle="1" w:styleId="80">
    <w:name w:val="正文首行缩进 Char"/>
    <w:link w:val="41"/>
    <w:qFormat/>
    <w:uiPriority w:val="0"/>
    <w:rPr>
      <w:kern w:val="2"/>
      <w:sz w:val="21"/>
      <w:szCs w:val="24"/>
      <w:lang w:eastAsia="zh-TW"/>
    </w:rPr>
  </w:style>
  <w:style w:type="paragraph" w:customStyle="1" w:styleId="81">
    <w:name w:val="BodyText1I2"/>
    <w:basedOn w:val="82"/>
    <w:qFormat/>
    <w:uiPriority w:val="0"/>
    <w:pPr>
      <w:ind w:firstLine="420" w:firstLineChars="200"/>
    </w:pPr>
  </w:style>
  <w:style w:type="paragraph" w:customStyle="1" w:styleId="82">
    <w:name w:val="BodyTextIndent"/>
    <w:basedOn w:val="1"/>
    <w:qFormat/>
    <w:uiPriority w:val="0"/>
    <w:pPr>
      <w:spacing w:after="120"/>
      <w:ind w:left="420" w:leftChars="200"/>
    </w:pPr>
  </w:style>
  <w:style w:type="character" w:customStyle="1" w:styleId="83">
    <w:name w:val="纯文本 Char"/>
    <w:qFormat/>
    <w:uiPriority w:val="0"/>
    <w:rPr>
      <w:rFonts w:ascii="宋体" w:hAnsi="Courier New" w:eastAsia="宋体"/>
      <w:kern w:val="2"/>
      <w:sz w:val="21"/>
      <w:lang w:val="en-US" w:eastAsia="zh-CN" w:bidi="ar-SA"/>
    </w:rPr>
  </w:style>
  <w:style w:type="character" w:customStyle="1" w:styleId="84">
    <w:name w:val="redfilenumber"/>
    <w:qFormat/>
    <w:uiPriority w:val="0"/>
    <w:rPr>
      <w:color w:val="BA2636"/>
      <w:sz w:val="18"/>
      <w:szCs w:val="18"/>
    </w:rPr>
  </w:style>
  <w:style w:type="character" w:customStyle="1" w:styleId="85">
    <w:name w:val="gjfg"/>
    <w:basedOn w:val="45"/>
    <w:qFormat/>
    <w:uiPriority w:val="0"/>
  </w:style>
  <w:style w:type="character" w:customStyle="1" w:styleId="86">
    <w:name w:val="cfdate"/>
    <w:qFormat/>
    <w:uiPriority w:val="0"/>
    <w:rPr>
      <w:color w:val="333333"/>
      <w:sz w:val="18"/>
      <w:szCs w:val="18"/>
    </w:rPr>
  </w:style>
  <w:style w:type="character" w:customStyle="1" w:styleId="87">
    <w:name w:val="正文 首行缩进:  2 字符 Char"/>
    <w:link w:val="88"/>
    <w:qFormat/>
    <w:uiPriority w:val="0"/>
    <w:rPr>
      <w:rFonts w:ascii="宋体" w:hAnsi="宋体"/>
      <w:kern w:val="2"/>
      <w:sz w:val="24"/>
    </w:rPr>
  </w:style>
  <w:style w:type="paragraph" w:customStyle="1" w:styleId="88">
    <w:name w:val="正文 首行缩进:  2 字符"/>
    <w:basedOn w:val="1"/>
    <w:link w:val="87"/>
    <w:qFormat/>
    <w:uiPriority w:val="0"/>
    <w:pPr>
      <w:spacing w:line="360" w:lineRule="auto"/>
      <w:ind w:firstLine="480"/>
    </w:pPr>
    <w:rPr>
      <w:rFonts w:ascii="宋体" w:hAnsi="宋体"/>
      <w:sz w:val="24"/>
      <w:szCs w:val="20"/>
    </w:rPr>
  </w:style>
  <w:style w:type="character" w:customStyle="1" w:styleId="89">
    <w:name w:val="redfilefwwh"/>
    <w:qFormat/>
    <w:uiPriority w:val="0"/>
    <w:rPr>
      <w:color w:val="BA2636"/>
      <w:sz w:val="18"/>
      <w:szCs w:val="18"/>
    </w:rPr>
  </w:style>
  <w:style w:type="character" w:customStyle="1" w:styleId="90">
    <w:name w:val="displayarti"/>
    <w:qFormat/>
    <w:uiPriority w:val="0"/>
    <w:rPr>
      <w:color w:val="FFFFFF"/>
      <w:shd w:val="clear" w:color="auto" w:fill="A00000"/>
    </w:rPr>
  </w:style>
  <w:style w:type="character" w:customStyle="1" w:styleId="91">
    <w:name w:val="apple-style-span"/>
    <w:basedOn w:val="45"/>
    <w:qFormat/>
    <w:uiPriority w:val="0"/>
  </w:style>
  <w:style w:type="character" w:customStyle="1" w:styleId="92">
    <w:name w:val="纯文本 Char1"/>
    <w:qFormat/>
    <w:uiPriority w:val="0"/>
    <w:rPr>
      <w:rFonts w:ascii="宋体" w:hAnsi="Courier New" w:eastAsia="宋体"/>
      <w:kern w:val="2"/>
      <w:sz w:val="21"/>
      <w:lang w:val="en-US" w:eastAsia="zh-CN" w:bidi="ar-SA"/>
    </w:rPr>
  </w:style>
  <w:style w:type="character" w:customStyle="1" w:styleId="93">
    <w:name w:val="qxdate"/>
    <w:qFormat/>
    <w:uiPriority w:val="0"/>
    <w:rPr>
      <w:color w:val="333333"/>
      <w:sz w:val="18"/>
      <w:szCs w:val="18"/>
    </w:rPr>
  </w:style>
  <w:style w:type="character" w:customStyle="1" w:styleId="94">
    <w:name w:val="无间隔 Char"/>
    <w:link w:val="95"/>
    <w:qFormat/>
    <w:uiPriority w:val="1"/>
    <w:rPr>
      <w:sz w:val="22"/>
      <w:szCs w:val="22"/>
      <w:lang w:val="en-US" w:eastAsia="zh-CN" w:bidi="ar-SA"/>
    </w:rPr>
  </w:style>
  <w:style w:type="paragraph" w:styleId="95">
    <w:name w:val="No Spacing"/>
    <w:link w:val="94"/>
    <w:qFormat/>
    <w:uiPriority w:val="1"/>
    <w:rPr>
      <w:rFonts w:ascii="Times New Roman" w:hAnsi="Times New Roman" w:eastAsia="宋体" w:cs="Times New Roman"/>
      <w:sz w:val="22"/>
      <w:szCs w:val="22"/>
      <w:lang w:val="en-US" w:eastAsia="zh-CN" w:bidi="ar-SA"/>
    </w:rPr>
  </w:style>
  <w:style w:type="character" w:customStyle="1" w:styleId="96">
    <w:name w:val="列出段落 Char"/>
    <w:link w:val="97"/>
    <w:qFormat/>
    <w:uiPriority w:val="0"/>
    <w:rPr>
      <w:kern w:val="2"/>
      <w:sz w:val="21"/>
      <w:szCs w:val="24"/>
    </w:rPr>
  </w:style>
  <w:style w:type="paragraph" w:styleId="97">
    <w:name w:val="List Paragraph"/>
    <w:basedOn w:val="1"/>
    <w:link w:val="96"/>
    <w:qFormat/>
    <w:uiPriority w:val="0"/>
    <w:pPr>
      <w:ind w:firstLine="420" w:firstLineChars="200"/>
    </w:pPr>
  </w:style>
  <w:style w:type="paragraph" w:customStyle="1" w:styleId="98">
    <w:name w:val="IBM 正文"/>
    <w:basedOn w:val="1"/>
    <w:qFormat/>
    <w:uiPriority w:val="0"/>
    <w:pPr>
      <w:spacing w:line="360" w:lineRule="exact"/>
    </w:pPr>
    <w:rPr>
      <w:sz w:val="24"/>
      <w:szCs w:val="20"/>
    </w:rPr>
  </w:style>
  <w:style w:type="paragraph" w:customStyle="1" w:styleId="99">
    <w:name w:val="p0"/>
    <w:basedOn w:val="1"/>
    <w:qFormat/>
    <w:uiPriority w:val="0"/>
    <w:pPr>
      <w:widowControl/>
    </w:pPr>
    <w:rPr>
      <w:rFonts w:ascii="Calibri" w:hAnsi="Calibri" w:cs="宋体"/>
      <w:kern w:val="0"/>
      <w:szCs w:val="21"/>
    </w:rPr>
  </w:style>
  <w:style w:type="paragraph" w:customStyle="1" w:styleId="10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1">
    <w:name w:val="参考文献"/>
    <w:next w:val="1"/>
    <w:qFormat/>
    <w:uiPriority w:val="0"/>
    <w:pPr>
      <w:spacing w:line="400" w:lineRule="exact"/>
    </w:pPr>
    <w:rPr>
      <w:rFonts w:ascii="Times New Roman" w:hAnsi="Times New Roman" w:eastAsia="宋体" w:cs="Times New Roman"/>
      <w:sz w:val="21"/>
      <w:lang w:val="en-US" w:eastAsia="zh-CN" w:bidi="ar-SA"/>
    </w:rPr>
  </w:style>
  <w:style w:type="paragraph" w:customStyle="1" w:styleId="1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4">
    <w:name w:val="Table Paragraph"/>
    <w:basedOn w:val="1"/>
    <w:unhideWhenUsed/>
    <w:qFormat/>
    <w:uiPriority w:val="1"/>
    <w:rPr>
      <w:sz w:val="24"/>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7">
    <w:name w:val="中文摘要正文"/>
    <w:next w:val="1"/>
    <w:qFormat/>
    <w:uiPriority w:val="0"/>
    <w:pPr>
      <w:spacing w:line="400" w:lineRule="exact"/>
    </w:pPr>
    <w:rPr>
      <w:rFonts w:ascii="Times New Roman" w:hAnsi="Times New Roman" w:eastAsia="宋体" w:cs="Times New Roman"/>
      <w:sz w:val="24"/>
      <w:lang w:val="en-US" w:eastAsia="zh-CN" w:bidi="ar-SA"/>
    </w:rPr>
  </w:style>
  <w:style w:type="paragraph" w:customStyle="1" w:styleId="10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0">
    <w:name w:val="1 Char Char Char Char"/>
    <w:basedOn w:val="1"/>
    <w:qFormat/>
    <w:uiPriority w:val="0"/>
    <w:rPr>
      <w:rFonts w:ascii="Tahoma" w:hAnsi="Tahoma"/>
      <w:sz w:val="24"/>
      <w:szCs w:val="20"/>
    </w:rPr>
  </w:style>
  <w:style w:type="paragraph" w:customStyle="1" w:styleId="111">
    <w:name w:val="样式1"/>
    <w:basedOn w:val="29"/>
    <w:qFormat/>
    <w:uiPriority w:val="0"/>
    <w:pPr>
      <w:tabs>
        <w:tab w:val="left" w:pos="840"/>
        <w:tab w:val="left" w:pos="1680"/>
        <w:tab w:val="right" w:leader="dot" w:pos="8302"/>
        <w:tab w:val="clear" w:pos="8296"/>
      </w:tabs>
      <w:adjustRightInd w:val="0"/>
      <w:snapToGrid w:val="0"/>
      <w:spacing w:beforeLines="50" w:after="0"/>
      <w:ind w:left="210" w:leftChars="100" w:right="210" w:rightChars="100" w:firstLine="200"/>
    </w:pPr>
    <w:rPr>
      <w:rFonts w:ascii="Times New Roman" w:hAnsi="Times New Roman" w:cs="Arial"/>
      <w:b w:val="0"/>
      <w:sz w:val="24"/>
      <w:szCs w:val="24"/>
    </w:rPr>
  </w:style>
  <w:style w:type="paragraph" w:customStyle="1" w:styleId="11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4">
    <w:name w:val="表题与图题"/>
    <w:next w:val="1"/>
    <w:qFormat/>
    <w:uiPriority w:val="0"/>
    <w:pPr>
      <w:spacing w:line="400" w:lineRule="exact"/>
    </w:pPr>
    <w:rPr>
      <w:rFonts w:ascii="Times New Roman" w:hAnsi="Times New Roman" w:eastAsia="宋体" w:cs="Times New Roman"/>
      <w:sz w:val="22"/>
      <w:lang w:val="en-US" w:eastAsia="zh-CN" w:bidi="ar-SA"/>
    </w:rPr>
  </w:style>
  <w:style w:type="paragraph" w:customStyle="1" w:styleId="115">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16">
    <w:name w:val="首页页眉"/>
    <w:basedOn w:val="28"/>
    <w:qFormat/>
    <w:uiPriority w:val="0"/>
    <w:pPr>
      <w:pBdr>
        <w:bottom w:val="none" w:color="auto" w:sz="0" w:space="0"/>
      </w:pBdr>
      <w:spacing w:line="240" w:lineRule="atLeast"/>
      <w:ind w:firstLine="420" w:firstLineChars="200"/>
    </w:pPr>
    <w:rPr>
      <w:kern w:val="0"/>
      <w:sz w:val="21"/>
      <w:szCs w:val="20"/>
      <w:lang w:eastAsia="zh-TW"/>
    </w:rPr>
  </w:style>
  <w:style w:type="paragraph" w:customStyle="1" w:styleId="117">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1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9">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0">
    <w:name w:val="一级节标题"/>
    <w:next w:val="1"/>
    <w:qFormat/>
    <w:uiPriority w:val="0"/>
    <w:pPr>
      <w:tabs>
        <w:tab w:val="left" w:pos="567"/>
      </w:tabs>
      <w:spacing w:before="360" w:after="360" w:line="400" w:lineRule="exact"/>
      <w:ind w:left="567" w:hanging="567"/>
      <w:jc w:val="both"/>
      <w:outlineLvl w:val="1"/>
    </w:pPr>
    <w:rPr>
      <w:rFonts w:ascii="Arial" w:hAnsi="Arial" w:eastAsia="黑体" w:cs="Arial"/>
      <w:b/>
      <w:sz w:val="30"/>
      <w:lang w:val="en-US" w:eastAsia="zh-CN" w:bidi="ar-SA"/>
    </w:rPr>
  </w:style>
  <w:style w:type="paragraph" w:customStyle="1" w:styleId="12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22">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123">
    <w:name w:val="三级节标题"/>
    <w:next w:val="1"/>
    <w:qFormat/>
    <w:uiPriority w:val="0"/>
    <w:pPr>
      <w:tabs>
        <w:tab w:val="left" w:pos="1134"/>
      </w:tabs>
      <w:spacing w:before="120" w:after="120" w:line="400" w:lineRule="exact"/>
      <w:ind w:left="738" w:hanging="738"/>
      <w:outlineLvl w:val="3"/>
    </w:pPr>
    <w:rPr>
      <w:rFonts w:ascii="Arial" w:hAnsi="Arial" w:eastAsia="黑体" w:cs="Times New Roman"/>
      <w:b/>
      <w:sz w:val="28"/>
      <w:szCs w:val="28"/>
      <w:lang w:val="en-US" w:eastAsia="zh-CN" w:bidi="ar-SA"/>
    </w:rPr>
  </w:style>
  <w:style w:type="paragraph" w:customStyle="1" w:styleId="124">
    <w:name w:val="中文摘要标题"/>
    <w:next w:val="1"/>
    <w:qFormat/>
    <w:uiPriority w:val="0"/>
    <w:pPr>
      <w:spacing w:beforeLines="100" w:line="400" w:lineRule="exact"/>
      <w:jc w:val="center"/>
    </w:pPr>
    <w:rPr>
      <w:rFonts w:ascii="Times New Roman" w:hAnsi="Times New Roman" w:eastAsia="黑体" w:cs="Times New Roman"/>
      <w:sz w:val="30"/>
      <w:lang w:val="en-US" w:eastAsia="zh-CN" w:bidi="ar-SA"/>
    </w:rPr>
  </w:style>
  <w:style w:type="paragraph" w:customStyle="1" w:styleId="1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7">
    <w:name w:val="图五"/>
    <w:basedOn w:val="1"/>
    <w:qFormat/>
    <w:uiPriority w:val="0"/>
    <w:pPr>
      <w:spacing w:line="240" w:lineRule="exact"/>
      <w:jc w:val="center"/>
    </w:pPr>
  </w:style>
  <w:style w:type="paragraph" w:customStyle="1" w:styleId="128">
    <w:name w:val="2"/>
    <w:basedOn w:val="1"/>
    <w:next w:val="22"/>
    <w:qFormat/>
    <w:uiPriority w:val="0"/>
    <w:rPr>
      <w:rFonts w:ascii="宋体" w:hAnsi="Courier New" w:cs="Courier New"/>
      <w:szCs w:val="21"/>
    </w:rPr>
  </w:style>
  <w:style w:type="paragraph" w:customStyle="1" w:styleId="12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130">
    <w:name w:val="样式 正文文字缩进 + 宋体 居中 行距: 固定值 24 磅"/>
    <w:basedOn w:val="1"/>
    <w:qFormat/>
    <w:uiPriority w:val="0"/>
    <w:pPr>
      <w:ind w:left="80" w:leftChars="38"/>
    </w:pPr>
    <w:rPr>
      <w:rFonts w:ascii="宋体" w:hAnsi="宋体" w:cs="宋体"/>
      <w:szCs w:val="20"/>
    </w:rPr>
  </w:style>
  <w:style w:type="paragraph" w:customStyle="1" w:styleId="131">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宋体" w:hAnsi="宋体" w:cs="宋体"/>
      <w:b/>
      <w:bCs/>
      <w:kern w:val="0"/>
      <w:sz w:val="24"/>
    </w:rPr>
  </w:style>
  <w:style w:type="paragraph" w:customStyle="1" w:styleId="132">
    <w:name w:val="无间隔1"/>
    <w:qFormat/>
    <w:uiPriority w:val="1"/>
    <w:rPr>
      <w:rFonts w:ascii="Times New Roman" w:hAnsi="Times New Roman" w:eastAsia="宋体" w:cs="Times New Roman"/>
      <w:sz w:val="22"/>
      <w:lang w:val="en-US" w:eastAsia="zh-CN" w:bidi="ar-SA"/>
    </w:rPr>
  </w:style>
  <w:style w:type="paragraph" w:customStyle="1" w:styleId="133">
    <w:name w:val="p15"/>
    <w:basedOn w:val="1"/>
    <w:qFormat/>
    <w:uiPriority w:val="0"/>
    <w:pPr>
      <w:widowControl/>
    </w:pPr>
    <w:rPr>
      <w:kern w:val="0"/>
      <w:szCs w:val="21"/>
    </w:rPr>
  </w:style>
  <w:style w:type="paragraph" w:customStyle="1" w:styleId="134">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35">
    <w:name w:val="pit正文"/>
    <w:basedOn w:val="1"/>
    <w:qFormat/>
    <w:uiPriority w:val="0"/>
    <w:pPr>
      <w:spacing w:line="400" w:lineRule="exact"/>
    </w:pPr>
    <w:rPr>
      <w:spacing w:val="20"/>
      <w:sz w:val="24"/>
      <w:szCs w:val="20"/>
    </w:rPr>
  </w:style>
  <w:style w:type="paragraph" w:customStyle="1" w:styleId="136">
    <w:name w:val="浅色网格 - 强调文字颜色 31"/>
    <w:basedOn w:val="1"/>
    <w:qFormat/>
    <w:uiPriority w:val="34"/>
    <w:pPr>
      <w:ind w:firstLine="420" w:firstLineChars="200"/>
    </w:pPr>
    <w:rPr>
      <w:rFonts w:ascii="Calibri" w:hAnsi="Calibri"/>
      <w:szCs w:val="22"/>
    </w:rPr>
  </w:style>
  <w:style w:type="paragraph" w:customStyle="1" w:styleId="137">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138">
    <w:name w:val="MM Topic 3"/>
    <w:basedOn w:val="5"/>
    <w:qFormat/>
    <w:uiPriority w:val="0"/>
    <w:rPr>
      <w:rFonts w:ascii="Calibri" w:hAnsi="Calibri"/>
    </w:rPr>
  </w:style>
  <w:style w:type="paragraph" w:customStyle="1" w:styleId="13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0">
    <w:name w:val="font6"/>
    <w:basedOn w:val="1"/>
    <w:qFormat/>
    <w:uiPriority w:val="0"/>
    <w:pPr>
      <w:widowControl/>
      <w:spacing w:before="100" w:beforeAutospacing="1" w:after="100" w:afterAutospacing="1"/>
      <w:jc w:val="left"/>
    </w:pPr>
    <w:rPr>
      <w:rFonts w:ascii="MingLiU" w:hAnsi="MingLiU" w:eastAsia="MingLiU" w:cs="宋体"/>
      <w:color w:val="000000"/>
      <w:kern w:val="0"/>
      <w:sz w:val="22"/>
      <w:szCs w:val="22"/>
    </w:rPr>
  </w:style>
  <w:style w:type="paragraph" w:customStyle="1" w:styleId="141">
    <w:name w:val="列出段落1"/>
    <w:basedOn w:val="1"/>
    <w:qFormat/>
    <w:uiPriority w:val="0"/>
    <w:pPr>
      <w:ind w:firstLine="420" w:firstLineChars="200"/>
    </w:pPr>
    <w:rPr>
      <w:rFonts w:ascii="Calibri" w:hAnsi="Calibri"/>
      <w:szCs w:val="22"/>
    </w:rPr>
  </w:style>
  <w:style w:type="paragraph" w:customStyle="1" w:styleId="142">
    <w:name w:val="大标题"/>
    <w:next w:val="1"/>
    <w:qFormat/>
    <w:uiPriority w:val="0"/>
    <w:pPr>
      <w:keepNext/>
      <w:pageBreakBefore/>
      <w:tabs>
        <w:tab w:val="left" w:pos="1440"/>
      </w:tabs>
      <w:spacing w:before="360" w:after="360"/>
      <w:ind w:left="425" w:hanging="425"/>
      <w:jc w:val="center"/>
      <w:outlineLvl w:val="0"/>
    </w:pPr>
    <w:rPr>
      <w:rFonts w:ascii="Times New Roman" w:hAnsi="Times New Roman" w:eastAsia="宋体" w:cs="Times New Roman"/>
      <w:b/>
      <w:sz w:val="36"/>
      <w:lang w:val="en-US" w:eastAsia="zh-CN" w:bidi="ar-SA"/>
    </w:rPr>
  </w:style>
  <w:style w:type="paragraph" w:customStyle="1" w:styleId="14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5">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宋体" w:hAnsi="宋体" w:cs="宋体"/>
      <w:b/>
      <w:bCs/>
      <w:kern w:val="0"/>
      <w:sz w:val="24"/>
    </w:rPr>
  </w:style>
  <w:style w:type="paragraph" w:customStyle="1" w:styleId="146">
    <w:name w:val="二级节标题"/>
    <w:next w:val="1"/>
    <w:qFormat/>
    <w:uiPriority w:val="0"/>
    <w:pPr>
      <w:tabs>
        <w:tab w:val="left" w:pos="600"/>
      </w:tabs>
      <w:spacing w:before="240" w:after="240" w:line="400" w:lineRule="exact"/>
      <w:outlineLvl w:val="2"/>
    </w:pPr>
    <w:rPr>
      <w:rFonts w:ascii="Arial" w:hAnsi="Arial" w:eastAsia="黑体" w:cs="Times New Roman"/>
      <w:b/>
      <w:sz w:val="30"/>
      <w:szCs w:val="30"/>
      <w:lang w:val="en-US" w:eastAsia="zh-CN" w:bidi="ar-SA"/>
    </w:rPr>
  </w:style>
  <w:style w:type="paragraph" w:customStyle="1" w:styleId="147">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4"/>
    </w:rPr>
  </w:style>
  <w:style w:type="paragraph" w:customStyle="1" w:styleId="148">
    <w:name w:val="zw"/>
    <w:basedOn w:val="1"/>
    <w:qFormat/>
    <w:uiPriority w:val="0"/>
    <w:pPr>
      <w:adjustRightInd w:val="0"/>
      <w:spacing w:line="360" w:lineRule="auto"/>
      <w:ind w:firstLine="482"/>
      <w:textAlignment w:val="baseline"/>
    </w:pPr>
    <w:rPr>
      <w:rFonts w:ascii="Arial Narrow" w:hAnsi="Arial Narrow" w:eastAsia="楷体_GB2312"/>
      <w:kern w:val="0"/>
      <w:sz w:val="24"/>
      <w:szCs w:val="20"/>
    </w:rPr>
  </w:style>
  <w:style w:type="paragraph" w:customStyle="1" w:styleId="1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0">
    <w:name w:val="列出段落11"/>
    <w:basedOn w:val="1"/>
    <w:qFormat/>
    <w:uiPriority w:val="34"/>
    <w:pPr>
      <w:ind w:firstLine="420" w:firstLineChars="200"/>
    </w:pPr>
    <w:rPr>
      <w:szCs w:val="20"/>
    </w:rPr>
  </w:style>
  <w:style w:type="paragraph" w:customStyle="1" w:styleId="151">
    <w:name w:val="Style Style Heading 2L2h2H2Heading 2 HiddenHeading 2 CCBSPA Major S..."/>
    <w:basedOn w:val="1"/>
    <w:qFormat/>
    <w:uiPriority w:val="0"/>
    <w:pPr>
      <w:keepNext/>
      <w:keepLines/>
      <w:spacing w:beforeLines="50" w:afterLines="50" w:line="360" w:lineRule="auto"/>
      <w:outlineLvl w:val="1"/>
    </w:pPr>
    <w:rPr>
      <w:rFonts w:eastAsia="黑体" w:cs="宋体"/>
      <w:b/>
      <w:bCs/>
      <w:sz w:val="32"/>
      <w:szCs w:val="20"/>
    </w:rPr>
  </w:style>
  <w:style w:type="paragraph" w:customStyle="1" w:styleId="15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3">
    <w:name w:val="WPSOffice手动目录 1"/>
    <w:qFormat/>
    <w:uiPriority w:val="0"/>
    <w:rPr>
      <w:rFonts w:ascii="Times New Roman" w:hAnsi="Times New Roman" w:eastAsia="宋体" w:cs="Times New Roman"/>
      <w:lang w:val="en-US" w:eastAsia="zh-CN" w:bidi="ar-SA"/>
    </w:rPr>
  </w:style>
  <w:style w:type="paragraph" w:customStyle="1" w:styleId="154">
    <w:name w:val="Char1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6">
    <w:name w:val="默认段落字体 Para Char"/>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9"/>
    <customShpInfo spid="_x0000_s4114"/>
    <customShpInfo spid="_x0000_s4115"/>
    <customShpInfo spid="_x0000_s4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3956</Words>
  <Characters>22550</Characters>
  <Lines>187</Lines>
  <Paragraphs>52</Paragraphs>
  <TotalTime>5</TotalTime>
  <ScaleCrop>false</ScaleCrop>
  <LinksUpToDate>false</LinksUpToDate>
  <CharactersWithSpaces>26454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2022-02-17T09:06:00Z</dcterms:created>
  <dc:creator>YM.S</dc:creator>
  <cp:lastModifiedBy>璐妹妹儿</cp:lastModifiedBy>
  <cp:lastPrinted>2020-01-15T07:14:00Z</cp:lastPrinted>
  <dcterms:modified xsi:type="dcterms:W3CDTF">2022-02-23T01:51:30Z</dcterms:modified>
  <dc:title>北京市东城区人民政府国有资产监督管理委员会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2FC3FD4B734A42BD8367CFB65070CC11</vt:lpwstr>
  </property>
</Properties>
</file>